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77369" w14:textId="77777777" w:rsidR="00E7205C" w:rsidRPr="004549D4" w:rsidRDefault="00E7205C" w:rsidP="00E7205C">
      <w:pPr>
        <w:keepLines/>
        <w:spacing w:before="120" w:after="120" w:line="240" w:lineRule="auto"/>
        <w:ind w:left="567" w:right="277" w:firstLine="709"/>
        <w:jc w:val="center"/>
        <w:rPr>
          <w:rFonts w:ascii="Times New Roman" w:eastAsiaTheme="minorEastAsia" w:hAnsi="Times New Roman" w:cs="Times New Roman"/>
          <w:b/>
          <w:i/>
          <w:sz w:val="26"/>
          <w:szCs w:val="24"/>
          <w:lang w:eastAsia="fr-FR"/>
        </w:rPr>
      </w:pPr>
    </w:p>
    <w:p w14:paraId="1DF343CF" w14:textId="77777777" w:rsidR="00E7205C" w:rsidRPr="004549D4" w:rsidRDefault="00E7205C" w:rsidP="00E7205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187D2CAD" w14:textId="77777777" w:rsidR="00E7205C" w:rsidRPr="004549D4" w:rsidRDefault="00E7205C" w:rsidP="00E7205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CONSEIL D’ÉTAT</w:t>
      </w:r>
    </w:p>
    <w:p w14:paraId="15279F79" w14:textId="77777777" w:rsidR="00E7205C" w:rsidRPr="004549D4" w:rsidRDefault="00E7205C" w:rsidP="00E7205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2C1DA865" w14:textId="77777777" w:rsidR="00E7205C" w:rsidRPr="004549D4" w:rsidRDefault="00E7205C" w:rsidP="00E7205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SECTION DU CONTENTIEUX</w:t>
      </w:r>
    </w:p>
    <w:p w14:paraId="08D1F074" w14:textId="77777777" w:rsidR="00E7205C" w:rsidRPr="004549D4" w:rsidRDefault="00E7205C" w:rsidP="00E7205C">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790249BC" w14:textId="77777777" w:rsidR="00E7205C" w:rsidRPr="004549D4" w:rsidRDefault="00E7205C" w:rsidP="00E7205C">
      <w:pPr>
        <w:keepLines/>
        <w:tabs>
          <w:tab w:val="left" w:pos="2835"/>
        </w:tab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POURVOI EN CASSATION</w:t>
      </w:r>
    </w:p>
    <w:p w14:paraId="67D3A8F5" w14:textId="77777777" w:rsidR="00E7205C" w:rsidRPr="004549D4" w:rsidRDefault="00E7205C" w:rsidP="00E7205C">
      <w:pPr>
        <w:keepLines/>
        <w:spacing w:before="120" w:after="120" w:line="240" w:lineRule="auto"/>
        <w:ind w:firstLine="709"/>
        <w:rPr>
          <w:rFonts w:ascii="Times New Roman" w:eastAsiaTheme="minorEastAsia" w:hAnsi="Times New Roman" w:cs="Times New Roman"/>
          <w:sz w:val="26"/>
          <w:szCs w:val="24"/>
          <w:lang w:eastAsia="fr-FR"/>
        </w:rPr>
      </w:pPr>
    </w:p>
    <w:p w14:paraId="3E059BFE" w14:textId="77777777" w:rsidR="00E7205C" w:rsidRPr="004549D4" w:rsidRDefault="00E7205C" w:rsidP="00E7205C">
      <w:pPr>
        <w:keepLines/>
        <w:spacing w:before="120" w:after="120" w:line="240" w:lineRule="auto"/>
        <w:ind w:firstLine="709"/>
        <w:rPr>
          <w:rFonts w:ascii="Times New Roman" w:eastAsiaTheme="minorEastAsia" w:hAnsi="Times New Roman" w:cs="Times New Roman"/>
          <w:sz w:val="26"/>
          <w:szCs w:val="24"/>
          <w:lang w:eastAsia="fr-FR"/>
        </w:rPr>
      </w:pPr>
    </w:p>
    <w:p w14:paraId="783E22B5" w14:textId="77777777" w:rsidR="00E7205C" w:rsidRPr="004549D4" w:rsidRDefault="00E7205C" w:rsidP="00E7205C">
      <w:pPr>
        <w:keepLines/>
        <w:spacing w:before="120" w:after="120" w:line="240" w:lineRule="auto"/>
        <w:ind w:firstLine="709"/>
        <w:rPr>
          <w:rFonts w:ascii="Times New Roman" w:eastAsiaTheme="minorEastAsia" w:hAnsi="Times New Roman" w:cs="Times New Roman"/>
          <w:sz w:val="26"/>
          <w:szCs w:val="24"/>
          <w:lang w:eastAsia="fr-FR"/>
        </w:rPr>
      </w:pPr>
    </w:p>
    <w:p w14:paraId="02C665E1" w14:textId="77777777" w:rsidR="00E7205C" w:rsidRPr="004549D4" w:rsidRDefault="00E7205C" w:rsidP="00E7205C">
      <w:pPr>
        <w:keepLines/>
        <w:spacing w:before="120" w:after="120" w:line="240" w:lineRule="auto"/>
        <w:ind w:firstLine="709"/>
        <w:rPr>
          <w:rFonts w:ascii="Times New Roman" w:eastAsiaTheme="minorEastAsia" w:hAnsi="Times New Roman" w:cs="Times New Roman"/>
          <w:sz w:val="26"/>
          <w:szCs w:val="24"/>
          <w:lang w:eastAsia="fr-FR"/>
        </w:rPr>
      </w:pPr>
    </w:p>
    <w:p w14:paraId="60CB3469" w14:textId="6A1C24F2" w:rsidR="00E7205C" w:rsidRPr="004549D4" w:rsidRDefault="00E7205C" w:rsidP="00E7205C">
      <w:pPr>
        <w:keepLines/>
        <w:tabs>
          <w:tab w:val="left" w:pos="2127"/>
        </w:tabs>
        <w:spacing w:before="120" w:after="120" w:line="240" w:lineRule="auto"/>
        <w:ind w:left="2124" w:right="567" w:hanging="1415"/>
        <w:jc w:val="both"/>
        <w:outlineLvl w:val="0"/>
        <w:rPr>
          <w:rFonts w:ascii="Times New Roman" w:eastAsiaTheme="minorEastAsia" w:hAnsi="Times New Roman" w:cs="Times New Roman"/>
          <w:color w:val="000000"/>
          <w:sz w:val="26"/>
          <w:szCs w:val="24"/>
          <w:lang w:eastAsia="fr-FR"/>
        </w:rPr>
      </w:pPr>
      <w:r w:rsidRPr="004549D4">
        <w:rPr>
          <w:rFonts w:ascii="Times New Roman" w:eastAsiaTheme="minorEastAsia" w:hAnsi="Times New Roman" w:cs="Times New Roman"/>
          <w:b/>
          <w:color w:val="000000"/>
          <w:sz w:val="26"/>
          <w:szCs w:val="24"/>
          <w:u w:val="single"/>
          <w:lang w:eastAsia="fr-FR"/>
        </w:rPr>
        <w:t>POUR</w:t>
      </w:r>
      <w:r w:rsidRPr="004549D4">
        <w:rPr>
          <w:rFonts w:ascii="Times New Roman" w:eastAsiaTheme="minorEastAsia" w:hAnsi="Times New Roman" w:cs="Times New Roman"/>
          <w:b/>
          <w:color w:val="000000"/>
          <w:sz w:val="26"/>
          <w:szCs w:val="24"/>
          <w:lang w:eastAsia="fr-FR"/>
        </w:rPr>
        <w:t> :</w:t>
      </w:r>
      <w:r w:rsidRPr="004549D4">
        <w:rPr>
          <w:rFonts w:ascii="Times New Roman" w:eastAsiaTheme="minorEastAsia" w:hAnsi="Times New Roman" w:cs="Times New Roman"/>
          <w:b/>
          <w:color w:val="000000"/>
          <w:sz w:val="26"/>
          <w:szCs w:val="24"/>
          <w:lang w:eastAsia="fr-FR"/>
        </w:rPr>
        <w:tab/>
      </w:r>
      <w:r>
        <w:rPr>
          <w:rFonts w:ascii="Times New Roman" w:eastAsiaTheme="minorEastAsia" w:hAnsi="Times New Roman" w:cs="Times New Roman"/>
          <w:b/>
          <w:sz w:val="26"/>
          <w:szCs w:val="26"/>
          <w:lang w:eastAsia="fr-FR"/>
        </w:rPr>
        <w:t>L’association « Ouvre-boîte »</w:t>
      </w:r>
      <w:r>
        <w:rPr>
          <w:rFonts w:ascii="Times New Roman" w:eastAsiaTheme="minorEastAsia" w:hAnsi="Times New Roman" w:cs="Times New Roman"/>
          <w:bCs/>
          <w:sz w:val="26"/>
          <w:szCs w:val="26"/>
          <w:lang w:eastAsia="fr-FR"/>
        </w:rPr>
        <w:t>, dont le siège social est à Paris (</w:t>
      </w:r>
      <w:r w:rsidRPr="004549D4">
        <w:rPr>
          <w:rFonts w:ascii="Times New Roman" w:eastAsiaTheme="minorEastAsia" w:hAnsi="Times New Roman" w:cs="Times New Roman"/>
          <w:bCs/>
          <w:sz w:val="26"/>
          <w:szCs w:val="26"/>
          <w:lang w:eastAsia="fr-FR"/>
        </w:rPr>
        <w:t>BP 438, 75366 cedex 8)</w:t>
      </w:r>
      <w:r>
        <w:rPr>
          <w:rFonts w:ascii="Times New Roman" w:eastAsiaTheme="minorEastAsia" w:hAnsi="Times New Roman" w:cs="Times New Roman"/>
          <w:bCs/>
          <w:sz w:val="26"/>
          <w:szCs w:val="26"/>
          <w:lang w:eastAsia="fr-FR"/>
        </w:rPr>
        <w:t xml:space="preserve">, </w:t>
      </w:r>
      <w:r w:rsidRPr="00E7205C">
        <w:rPr>
          <w:rFonts w:ascii="Times New Roman" w:eastAsiaTheme="minorEastAsia" w:hAnsi="Times New Roman" w:cs="Times New Roman"/>
          <w:bCs/>
          <w:sz w:val="26"/>
          <w:szCs w:val="26"/>
          <w:lang w:eastAsia="fr-FR"/>
        </w:rPr>
        <w:t>prise en la personne de son administrateur, M., domicilié en cette qualité audit siège</w:t>
      </w:r>
    </w:p>
    <w:p w14:paraId="6EA68FEF" w14:textId="77777777" w:rsidR="00E7205C" w:rsidRPr="004549D4" w:rsidRDefault="00E7205C" w:rsidP="00E7205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06ECC454" w14:textId="77777777" w:rsidR="00E7205C" w:rsidRPr="004549D4" w:rsidRDefault="00E7205C" w:rsidP="00E7205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443491C6" w14:textId="77777777" w:rsidR="00E7205C" w:rsidRPr="004549D4" w:rsidRDefault="00E7205C" w:rsidP="00E7205C">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2FC928CE" w14:textId="4C197551" w:rsidR="00E7205C" w:rsidRPr="004549D4" w:rsidRDefault="00E7205C" w:rsidP="00E7205C">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color w:val="000000"/>
          <w:sz w:val="26"/>
          <w:szCs w:val="24"/>
          <w:u w:val="single"/>
          <w:lang w:eastAsia="fr-FR"/>
        </w:rPr>
        <w:t>CONTRE</w:t>
      </w:r>
      <w:r w:rsidRPr="004549D4">
        <w:rPr>
          <w:rFonts w:ascii="Times New Roman" w:eastAsiaTheme="minorEastAsia" w:hAnsi="Times New Roman" w:cs="Times New Roman"/>
          <w:color w:val="000000"/>
          <w:sz w:val="26"/>
          <w:szCs w:val="24"/>
          <w:lang w:eastAsia="fr-FR"/>
        </w:rPr>
        <w:t> :</w:t>
      </w:r>
      <w:r w:rsidRPr="004549D4">
        <w:rPr>
          <w:rFonts w:ascii="Times New Roman" w:eastAsiaTheme="minorEastAsia" w:hAnsi="Times New Roman" w:cs="Times New Roman"/>
          <w:color w:val="000000"/>
          <w:sz w:val="26"/>
          <w:szCs w:val="24"/>
          <w:lang w:eastAsia="fr-FR"/>
        </w:rPr>
        <w:tab/>
      </w:r>
      <w:r>
        <w:rPr>
          <w:rFonts w:ascii="Times New Roman" w:eastAsiaTheme="minorEastAsia" w:hAnsi="Times New Roman" w:cs="Times New Roman"/>
          <w:color w:val="000000"/>
          <w:sz w:val="26"/>
          <w:szCs w:val="24"/>
          <w:lang w:eastAsia="fr-FR"/>
        </w:rPr>
        <w:t xml:space="preserve">Le jugement n° 1917018 du tribunal administratif de Paris du 15 janvier 2021 rendu à son préjudice et au profit du Conseil national des barreaux </w:t>
      </w:r>
      <w:r w:rsidRPr="004549D4">
        <w:rPr>
          <w:rFonts w:ascii="Times New Roman" w:eastAsiaTheme="minorEastAsia" w:hAnsi="Times New Roman" w:cs="Times New Roman"/>
          <w:b/>
          <w:bCs/>
          <w:color w:val="000000"/>
          <w:sz w:val="26"/>
          <w:szCs w:val="24"/>
          <w:lang w:eastAsia="fr-FR"/>
        </w:rPr>
        <w:t>(</w:t>
      </w:r>
      <w:proofErr w:type="spellStart"/>
      <w:r w:rsidRPr="004549D4">
        <w:rPr>
          <w:rFonts w:ascii="Times New Roman" w:eastAsiaTheme="minorEastAsia" w:hAnsi="Times New Roman" w:cs="Times New Roman"/>
          <w:b/>
          <w:bCs/>
          <w:color w:val="000000"/>
          <w:sz w:val="26"/>
          <w:szCs w:val="24"/>
          <w:lang w:eastAsia="fr-FR"/>
        </w:rPr>
        <w:t>prod</w:t>
      </w:r>
      <w:proofErr w:type="spellEnd"/>
      <w:r w:rsidRPr="004549D4">
        <w:rPr>
          <w:rFonts w:ascii="Times New Roman" w:eastAsiaTheme="minorEastAsia" w:hAnsi="Times New Roman" w:cs="Times New Roman"/>
          <w:b/>
          <w:bCs/>
          <w:color w:val="000000"/>
          <w:sz w:val="26"/>
          <w:szCs w:val="24"/>
          <w:lang w:eastAsia="fr-FR"/>
        </w:rPr>
        <w:t>. 1)</w:t>
      </w:r>
      <w:r w:rsidRPr="004549D4">
        <w:rPr>
          <w:rFonts w:ascii="Times New Roman" w:eastAsiaTheme="minorEastAsia" w:hAnsi="Times New Roman" w:cs="Times New Roman"/>
          <w:b/>
          <w:sz w:val="26"/>
          <w:szCs w:val="24"/>
          <w:u w:val="single"/>
          <w:lang w:eastAsia="fr-FR"/>
        </w:rPr>
        <w:br w:type="page"/>
      </w:r>
    </w:p>
    <w:p w14:paraId="532F3270"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b/>
          <w:bCs/>
          <w:sz w:val="26"/>
          <w:szCs w:val="26"/>
          <w:lang w:eastAsia="fr-FR"/>
        </w:rPr>
        <w:lastRenderedPageBreak/>
        <w:t>1.</w:t>
      </w:r>
      <w:r>
        <w:rPr>
          <w:rFonts w:ascii="Times New Roman" w:eastAsiaTheme="minorEastAsia" w:hAnsi="Times New Roman" w:cs="Times New Roman"/>
          <w:sz w:val="26"/>
          <w:szCs w:val="26"/>
          <w:lang w:eastAsia="fr-FR"/>
        </w:rPr>
        <w:t xml:space="preserve"> </w:t>
      </w:r>
      <w:r w:rsidRPr="004549D4">
        <w:rPr>
          <w:rFonts w:ascii="Times New Roman" w:eastAsiaTheme="minorEastAsia" w:hAnsi="Times New Roman" w:cs="Times New Roman"/>
          <w:sz w:val="26"/>
          <w:szCs w:val="26"/>
          <w:lang w:eastAsia="fr-FR"/>
        </w:rPr>
        <w:t>L</w:t>
      </w:r>
      <w:r>
        <w:rPr>
          <w:rFonts w:ascii="Times New Roman" w:eastAsiaTheme="minorEastAsia" w:hAnsi="Times New Roman" w:cs="Times New Roman"/>
          <w:sz w:val="26"/>
          <w:szCs w:val="26"/>
          <w:lang w:eastAsia="fr-FR"/>
        </w:rPr>
        <w:t>’association</w:t>
      </w:r>
      <w:r w:rsidRPr="004549D4">
        <w:rPr>
          <w:rFonts w:ascii="Times New Roman" w:eastAsiaTheme="minorEastAsia" w:hAnsi="Times New Roman" w:cs="Times New Roman"/>
          <w:sz w:val="26"/>
          <w:szCs w:val="26"/>
          <w:lang w:eastAsia="fr-FR"/>
        </w:rPr>
        <w:t xml:space="preserve"> requérante défère à la censure du Conseil d’</w:t>
      </w:r>
      <w:proofErr w:type="spellStart"/>
      <w:r w:rsidRPr="004549D4">
        <w:rPr>
          <w:rFonts w:ascii="Times New Roman" w:eastAsiaTheme="minorEastAsia" w:hAnsi="Times New Roman" w:cs="Times New Roman"/>
          <w:sz w:val="26"/>
          <w:szCs w:val="26"/>
          <w:lang w:eastAsia="fr-FR"/>
        </w:rPr>
        <w:t>Etat</w:t>
      </w:r>
      <w:proofErr w:type="spellEnd"/>
      <w:r w:rsidRPr="004549D4">
        <w:rPr>
          <w:rFonts w:ascii="Times New Roman" w:eastAsiaTheme="minorEastAsia" w:hAnsi="Times New Roman" w:cs="Times New Roman"/>
          <w:sz w:val="26"/>
          <w:szCs w:val="26"/>
          <w:lang w:eastAsia="fr-FR"/>
        </w:rPr>
        <w:t xml:space="preserve">, juge de cassation, </w:t>
      </w:r>
      <w:r>
        <w:rPr>
          <w:rFonts w:ascii="Times New Roman" w:eastAsiaTheme="minorEastAsia" w:hAnsi="Times New Roman" w:cs="Times New Roman"/>
          <w:sz w:val="26"/>
          <w:szCs w:val="26"/>
          <w:lang w:eastAsia="fr-FR"/>
        </w:rPr>
        <w:t>le jugement</w:t>
      </w:r>
      <w:r w:rsidRPr="004549D4">
        <w:rPr>
          <w:rFonts w:ascii="Times New Roman" w:eastAsiaTheme="minorEastAsia" w:hAnsi="Times New Roman" w:cs="Times New Roman"/>
          <w:sz w:val="26"/>
          <w:szCs w:val="26"/>
          <w:lang w:eastAsia="fr-FR"/>
        </w:rPr>
        <w:t xml:space="preserve"> attaqué en tous les chefs qui lui font grief.</w:t>
      </w:r>
    </w:p>
    <w:p w14:paraId="54AED717"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Dans un mémoire complémentaire qui sera produit dans le délai prévu à l’article R. 611-22 du code de justice administrative, elle établira que la décision juridictionnelle contestée encourt la censure dans les circonstances de fait et pour les motifs de droit ci-après brièvement résumés.</w:t>
      </w:r>
    </w:p>
    <w:p w14:paraId="527E767B"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sz w:val="26"/>
          <w:szCs w:val="26"/>
          <w:lang w:eastAsia="fr-FR"/>
        </w:rPr>
      </w:pPr>
    </w:p>
    <w:p w14:paraId="58942074" w14:textId="77777777" w:rsidR="00E7205C" w:rsidRPr="004549D4" w:rsidRDefault="00E7205C" w:rsidP="00E7205C">
      <w:pPr>
        <w:tabs>
          <w:tab w:val="left" w:pos="1701"/>
        </w:tabs>
        <w:spacing w:before="120" w:after="120" w:line="240" w:lineRule="auto"/>
        <w:ind w:left="567" w:right="6"/>
        <w:jc w:val="center"/>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w:t>
      </w:r>
    </w:p>
    <w:p w14:paraId="45ADDED4" w14:textId="77777777" w:rsidR="00E7205C" w:rsidRPr="004549D4" w:rsidRDefault="00E7205C" w:rsidP="00E7205C">
      <w:pPr>
        <w:tabs>
          <w:tab w:val="left" w:pos="1701"/>
        </w:tabs>
        <w:spacing w:before="120" w:after="120" w:line="240" w:lineRule="auto"/>
        <w:ind w:right="6"/>
        <w:jc w:val="both"/>
        <w:rPr>
          <w:rFonts w:ascii="Times New Roman" w:eastAsiaTheme="minorEastAsia" w:hAnsi="Times New Roman" w:cs="Times New Roman"/>
          <w:sz w:val="26"/>
          <w:szCs w:val="26"/>
          <w:lang w:eastAsia="fr-FR"/>
        </w:rPr>
      </w:pPr>
    </w:p>
    <w:p w14:paraId="3A4A38F1" w14:textId="77777777"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t xml:space="preserve">2. </w:t>
      </w:r>
      <w:r>
        <w:rPr>
          <w:rFonts w:ascii="Times New Roman" w:eastAsiaTheme="minorEastAsia" w:hAnsi="Times New Roman" w:cs="Times New Roman"/>
          <w:bCs/>
          <w:sz w:val="26"/>
          <w:szCs w:val="26"/>
          <w:lang w:eastAsia="fr-FR"/>
        </w:rPr>
        <w:t xml:space="preserve">L’association « Ouvre-boîte », exposante, a pour objet social « d’obtenir l’accès et la publication effective des documents administratifs, et plus particulièrement des données, bases de données et codes sources, conformément aux textes en vigueur » </w:t>
      </w:r>
      <w:r w:rsidRPr="004549D4">
        <w:rPr>
          <w:rFonts w:ascii="Times New Roman" w:eastAsiaTheme="minorEastAsia" w:hAnsi="Times New Roman" w:cs="Times New Roman"/>
          <w:b/>
          <w:sz w:val="26"/>
          <w:szCs w:val="26"/>
          <w:lang w:eastAsia="fr-FR"/>
        </w:rPr>
        <w:t>(</w:t>
      </w:r>
      <w:proofErr w:type="spellStart"/>
      <w:r w:rsidRPr="004549D4">
        <w:rPr>
          <w:rFonts w:ascii="Times New Roman" w:eastAsiaTheme="minorEastAsia" w:hAnsi="Times New Roman" w:cs="Times New Roman"/>
          <w:b/>
          <w:sz w:val="26"/>
          <w:szCs w:val="26"/>
          <w:lang w:eastAsia="fr-FR"/>
        </w:rPr>
        <w:t>prod</w:t>
      </w:r>
      <w:proofErr w:type="spellEnd"/>
      <w:r w:rsidRPr="004549D4">
        <w:rPr>
          <w:rFonts w:ascii="Times New Roman" w:eastAsiaTheme="minorEastAsia" w:hAnsi="Times New Roman" w:cs="Times New Roman"/>
          <w:b/>
          <w:sz w:val="26"/>
          <w:szCs w:val="26"/>
          <w:lang w:eastAsia="fr-FR"/>
        </w:rPr>
        <w:t>. 2)</w:t>
      </w:r>
      <w:r>
        <w:rPr>
          <w:rFonts w:ascii="Times New Roman" w:eastAsiaTheme="minorEastAsia" w:hAnsi="Times New Roman" w:cs="Times New Roman"/>
          <w:bCs/>
          <w:sz w:val="26"/>
          <w:szCs w:val="26"/>
          <w:lang w:eastAsia="fr-FR"/>
        </w:rPr>
        <w:t>.</w:t>
      </w:r>
    </w:p>
    <w:p w14:paraId="4C774BCB" w14:textId="53AC71EA"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Elle a ainsi demandé, le 17 janvier 2019, au Conseil national des barreaux (CNB) de communiquer, par voie de publication en ligne dans un format ouvert permettant la réutilisation et l’exploitation des données par un système de traitement automatisé, d’une part, l’annuaire des avocats inscrits aux tableaux et listes nationales, des avocats honoraires des différents barreaux, des avocats étrangers exerçant ou non sous leur titre d’origine et de ceux exerçant à titre partiel en France, comportant diverses informations, et d’autre part, la liste de tous les cabinets, bureaux, groupements d’avocats, structures d’exercice et personnes morales avec le type de structure, l’adresse, la ville, le code postal, le barreau, le SIRET, le numéro de toque, la date éventuelle d’inscription au barreau, les bureaux secondaire, les associés, les collaborateurs et les </w:t>
      </w:r>
      <w:r w:rsidRPr="00FA596C">
        <w:rPr>
          <w:rFonts w:ascii="Times New Roman" w:eastAsiaTheme="minorEastAsia" w:hAnsi="Times New Roman" w:cs="Times New Roman"/>
          <w:bCs/>
          <w:i/>
          <w:iCs/>
          <w:sz w:val="26"/>
          <w:szCs w:val="26"/>
          <w:lang w:eastAsia="fr-FR"/>
        </w:rPr>
        <w:t xml:space="preserve">of </w:t>
      </w:r>
      <w:proofErr w:type="spellStart"/>
      <w:r w:rsidRPr="00FA596C">
        <w:rPr>
          <w:rFonts w:ascii="Times New Roman" w:eastAsiaTheme="minorEastAsia" w:hAnsi="Times New Roman" w:cs="Times New Roman"/>
          <w:bCs/>
          <w:i/>
          <w:iCs/>
          <w:sz w:val="26"/>
          <w:szCs w:val="26"/>
          <w:lang w:eastAsia="fr-FR"/>
        </w:rPr>
        <w:t>counsels</w:t>
      </w:r>
      <w:proofErr w:type="spellEnd"/>
      <w:r>
        <w:rPr>
          <w:rFonts w:ascii="Times New Roman" w:eastAsiaTheme="minorEastAsia" w:hAnsi="Times New Roman" w:cs="Times New Roman"/>
          <w:bCs/>
          <w:sz w:val="26"/>
          <w:szCs w:val="26"/>
          <w:lang w:eastAsia="fr-FR"/>
        </w:rPr>
        <w:t>.</w:t>
      </w:r>
    </w:p>
    <w:p w14:paraId="0CE95914" w14:textId="4B71E173"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Le CNB ne lui ayant pas répondu, l’association « Ouvre-boîte » a saisi la Commission d’accès aux documents administratifs qui, par un avis favorable du 26 septembre 2019, a considéré qu’il y avait lieu de faire droit à sa demande dans la limite des informations actuellement accessibles via le moteur de recherches existant sur le site du conseil (avis n° 20191272).</w:t>
      </w:r>
    </w:p>
    <w:p w14:paraId="6F0B0198" w14:textId="080FF07E"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Le CNB n’ayant pas donné suite à cet avis, l’association « Ouvre-boîte » a alors porté l’affaire au contentieux et saisi la juridiction administrative d’un recours tendant à l’annulation de la décision implicite de refus de communication et à ce qu’il soit enjoint au CNB de communiquer les documents demandés par voie de publication en ligne ou tout autre moyen équivalent, dans un délai de 15 jours et sous astreinte de 100 euros par jour de retard à compter du jugement à intervenir.</w:t>
      </w:r>
    </w:p>
    <w:p w14:paraId="1449204E" w14:textId="4EC2B586"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 xml:space="preserve">Le tribunal administratif de Paris a rejeté ces conclusions par un </w:t>
      </w:r>
      <w:r w:rsidRPr="008C403A">
        <w:rPr>
          <w:rFonts w:ascii="Times New Roman" w:eastAsiaTheme="minorEastAsia" w:hAnsi="Times New Roman" w:cs="Times New Roman"/>
          <w:b/>
          <w:sz w:val="26"/>
          <w:szCs w:val="26"/>
          <w:u w:val="single"/>
          <w:lang w:eastAsia="fr-FR"/>
        </w:rPr>
        <w:t>jugement du 15 janvier 2021</w:t>
      </w:r>
      <w:r>
        <w:rPr>
          <w:rFonts w:ascii="Times New Roman" w:eastAsiaTheme="minorEastAsia" w:hAnsi="Times New Roman" w:cs="Times New Roman"/>
          <w:bCs/>
          <w:sz w:val="26"/>
          <w:szCs w:val="26"/>
          <w:lang w:eastAsia="fr-FR"/>
        </w:rPr>
        <w:t xml:space="preserve"> (n° 1917018) - jugement rendu en premier et dernier ressort en application des dispositions du 2° de l’article R. 811-1 du code de justice administrative -, contre lequel l’association « Ouvre-Boîte » se pourvoit aujourd’hui en cassation devant le Conseil d’</w:t>
      </w:r>
      <w:proofErr w:type="spellStart"/>
      <w:r>
        <w:rPr>
          <w:rFonts w:ascii="Times New Roman" w:eastAsiaTheme="minorEastAsia" w:hAnsi="Times New Roman" w:cs="Times New Roman"/>
          <w:bCs/>
          <w:sz w:val="26"/>
          <w:szCs w:val="26"/>
          <w:lang w:eastAsia="fr-FR"/>
        </w:rPr>
        <w:t>Etat</w:t>
      </w:r>
      <w:proofErr w:type="spellEnd"/>
    </w:p>
    <w:p w14:paraId="5468FC05"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A9921AF"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
          <w:sz w:val="26"/>
          <w:szCs w:val="26"/>
          <w:lang w:eastAsia="fr-FR"/>
        </w:rPr>
        <w:t>II -</w:t>
      </w:r>
      <w:r w:rsidRPr="004549D4">
        <w:rPr>
          <w:rFonts w:ascii="Times New Roman" w:eastAsiaTheme="minorEastAsia" w:hAnsi="Times New Roman" w:cs="Times New Roman"/>
          <w:bCs/>
          <w:sz w:val="26"/>
          <w:szCs w:val="26"/>
          <w:lang w:eastAsia="fr-FR"/>
        </w:rPr>
        <w:t xml:space="preserve"> Il sera tout d’abord démontré que l</w:t>
      </w:r>
      <w:r>
        <w:rPr>
          <w:rFonts w:ascii="Times New Roman" w:eastAsiaTheme="minorEastAsia" w:hAnsi="Times New Roman" w:cs="Times New Roman"/>
          <w:bCs/>
          <w:sz w:val="26"/>
          <w:szCs w:val="26"/>
          <w:lang w:eastAsia="fr-FR"/>
        </w:rPr>
        <w:t xml:space="preserve">e jugement </w:t>
      </w:r>
      <w:r w:rsidRPr="004549D4">
        <w:rPr>
          <w:rFonts w:ascii="Times New Roman" w:eastAsiaTheme="minorEastAsia" w:hAnsi="Times New Roman" w:cs="Times New Roman"/>
          <w:bCs/>
          <w:sz w:val="26"/>
          <w:szCs w:val="26"/>
          <w:lang w:eastAsia="fr-FR"/>
        </w:rPr>
        <w:t xml:space="preserve">attaqué est </w:t>
      </w:r>
      <w:r w:rsidRPr="004549D4">
        <w:rPr>
          <w:rFonts w:ascii="Times New Roman" w:eastAsiaTheme="minorEastAsia" w:hAnsi="Times New Roman" w:cs="Times New Roman"/>
          <w:b/>
          <w:sz w:val="26"/>
          <w:szCs w:val="26"/>
          <w:u w:val="single"/>
          <w:lang w:eastAsia="fr-FR"/>
        </w:rPr>
        <w:t>irrégulier en la forme</w:t>
      </w:r>
      <w:r w:rsidRPr="004549D4">
        <w:rPr>
          <w:rFonts w:ascii="Times New Roman" w:eastAsiaTheme="minorEastAsia" w:hAnsi="Times New Roman" w:cs="Times New Roman"/>
          <w:bCs/>
          <w:sz w:val="26"/>
          <w:szCs w:val="26"/>
          <w:lang w:eastAsia="fr-FR"/>
        </w:rPr>
        <w:t>.</w:t>
      </w:r>
    </w:p>
    <w:p w14:paraId="3FAE168F"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u w:val="single"/>
          <w:lang w:eastAsia="fr-FR"/>
        </w:rPr>
        <w:t>En premier lieu</w:t>
      </w:r>
      <w:r w:rsidRPr="004549D4">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le jugement attaqué</w:t>
      </w:r>
      <w:r w:rsidRPr="004549D4">
        <w:rPr>
          <w:rFonts w:ascii="Times New Roman" w:eastAsiaTheme="minorEastAsia" w:hAnsi="Times New Roman" w:cs="Times New Roman"/>
          <w:bCs/>
          <w:sz w:val="26"/>
          <w:szCs w:val="26"/>
          <w:lang w:eastAsia="fr-FR"/>
        </w:rPr>
        <w:t xml:space="preserve"> ne mentionne pas les dispositions législatives et réglementaires dont </w:t>
      </w:r>
      <w:r>
        <w:rPr>
          <w:rFonts w:ascii="Times New Roman" w:eastAsiaTheme="minorEastAsia" w:hAnsi="Times New Roman" w:cs="Times New Roman"/>
          <w:bCs/>
          <w:sz w:val="26"/>
          <w:szCs w:val="26"/>
          <w:lang w:eastAsia="fr-FR"/>
        </w:rPr>
        <w:t>le tribunal</w:t>
      </w:r>
      <w:r w:rsidRPr="004549D4">
        <w:rPr>
          <w:rFonts w:ascii="Times New Roman" w:eastAsiaTheme="minorEastAsia" w:hAnsi="Times New Roman" w:cs="Times New Roman"/>
          <w:bCs/>
          <w:sz w:val="26"/>
          <w:szCs w:val="26"/>
          <w:lang w:eastAsia="fr-FR"/>
        </w:rPr>
        <w:t xml:space="preserve"> a fait application, contrairement aux exigences de l’article R. 741-2 du code de justice administrative.</w:t>
      </w:r>
    </w:p>
    <w:p w14:paraId="14A43994" w14:textId="77777777"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u w:val="single"/>
          <w:lang w:eastAsia="fr-FR"/>
        </w:rPr>
        <w:t>En second lieu</w:t>
      </w:r>
      <w:r w:rsidRPr="004549D4">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le tribunal</w:t>
      </w:r>
      <w:r w:rsidRPr="004549D4">
        <w:rPr>
          <w:rFonts w:ascii="Times New Roman" w:eastAsiaTheme="minorEastAsia" w:hAnsi="Times New Roman" w:cs="Times New Roman"/>
          <w:bCs/>
          <w:sz w:val="26"/>
          <w:szCs w:val="26"/>
          <w:lang w:eastAsia="fr-FR"/>
        </w:rPr>
        <w:t xml:space="preserve"> n’a pas répondu à tous les moyens invoqués par </w:t>
      </w:r>
      <w:r>
        <w:rPr>
          <w:rFonts w:ascii="Times New Roman" w:eastAsiaTheme="minorEastAsia" w:hAnsi="Times New Roman" w:cs="Times New Roman"/>
          <w:bCs/>
          <w:sz w:val="26"/>
          <w:szCs w:val="26"/>
          <w:lang w:eastAsia="fr-FR"/>
        </w:rPr>
        <w:t>l’association</w:t>
      </w:r>
      <w:r w:rsidRPr="004549D4">
        <w:rPr>
          <w:rFonts w:ascii="Times New Roman" w:eastAsiaTheme="minorEastAsia" w:hAnsi="Times New Roman" w:cs="Times New Roman"/>
          <w:bCs/>
          <w:sz w:val="26"/>
          <w:szCs w:val="26"/>
          <w:lang w:eastAsia="fr-FR"/>
        </w:rPr>
        <w:t xml:space="preserve"> à l’appui de sa requête et a ainsi entaché son</w:t>
      </w:r>
      <w:r>
        <w:rPr>
          <w:rFonts w:ascii="Times New Roman" w:eastAsiaTheme="minorEastAsia" w:hAnsi="Times New Roman" w:cs="Times New Roman"/>
          <w:bCs/>
          <w:sz w:val="26"/>
          <w:szCs w:val="26"/>
          <w:lang w:eastAsia="fr-FR"/>
        </w:rPr>
        <w:t xml:space="preserve"> jugement</w:t>
      </w:r>
      <w:r w:rsidRPr="004549D4">
        <w:rPr>
          <w:rFonts w:ascii="Times New Roman" w:eastAsiaTheme="minorEastAsia" w:hAnsi="Times New Roman" w:cs="Times New Roman"/>
          <w:bCs/>
          <w:sz w:val="26"/>
          <w:szCs w:val="26"/>
          <w:lang w:eastAsia="fr-FR"/>
        </w:rPr>
        <w:t xml:space="preserve"> d’insuffisance de motivation.</w:t>
      </w:r>
    </w:p>
    <w:p w14:paraId="7B419D22"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8C403A">
        <w:rPr>
          <w:rFonts w:ascii="Times New Roman" w:eastAsiaTheme="minorEastAsia" w:hAnsi="Times New Roman" w:cs="Times New Roman"/>
          <w:bCs/>
          <w:sz w:val="26"/>
          <w:szCs w:val="26"/>
          <w:lang w:eastAsia="fr-FR"/>
        </w:rPr>
        <w:t>La censure s’impose.</w:t>
      </w:r>
    </w:p>
    <w:p w14:paraId="1F360E4D"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7CF57A4" w14:textId="77777777"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
          <w:sz w:val="26"/>
          <w:szCs w:val="26"/>
          <w:lang w:eastAsia="fr-FR"/>
        </w:rPr>
        <w:t>III -</w:t>
      </w:r>
      <w:r w:rsidRPr="004549D4">
        <w:rPr>
          <w:rFonts w:ascii="Times New Roman" w:eastAsiaTheme="minorEastAsia" w:hAnsi="Times New Roman" w:cs="Times New Roman"/>
          <w:bCs/>
          <w:sz w:val="26"/>
          <w:szCs w:val="26"/>
          <w:lang w:eastAsia="fr-FR"/>
        </w:rPr>
        <w:t xml:space="preserve"> Il sera ensuite démontré que </w:t>
      </w:r>
      <w:r>
        <w:rPr>
          <w:rFonts w:ascii="Times New Roman" w:eastAsiaTheme="minorEastAsia" w:hAnsi="Times New Roman" w:cs="Times New Roman"/>
          <w:bCs/>
          <w:sz w:val="26"/>
          <w:szCs w:val="26"/>
          <w:lang w:eastAsia="fr-FR"/>
        </w:rPr>
        <w:t xml:space="preserve">le jugement </w:t>
      </w:r>
      <w:r w:rsidRPr="004549D4">
        <w:rPr>
          <w:rFonts w:ascii="Times New Roman" w:eastAsiaTheme="minorEastAsia" w:hAnsi="Times New Roman" w:cs="Times New Roman"/>
          <w:bCs/>
          <w:sz w:val="26"/>
          <w:szCs w:val="26"/>
          <w:lang w:eastAsia="fr-FR"/>
        </w:rPr>
        <w:t xml:space="preserve">attaqué est </w:t>
      </w:r>
      <w:r w:rsidRPr="004549D4">
        <w:rPr>
          <w:rFonts w:ascii="Times New Roman" w:eastAsiaTheme="minorEastAsia" w:hAnsi="Times New Roman" w:cs="Times New Roman"/>
          <w:b/>
          <w:sz w:val="26"/>
          <w:szCs w:val="26"/>
          <w:u w:val="single"/>
          <w:lang w:eastAsia="fr-FR"/>
        </w:rPr>
        <w:t>mal fondé</w:t>
      </w:r>
      <w:r w:rsidRPr="004549D4">
        <w:rPr>
          <w:rFonts w:ascii="Times New Roman" w:eastAsiaTheme="minorEastAsia" w:hAnsi="Times New Roman" w:cs="Times New Roman"/>
          <w:bCs/>
          <w:sz w:val="26"/>
          <w:szCs w:val="26"/>
          <w:lang w:eastAsia="fr-FR"/>
        </w:rPr>
        <w:t>.</w:t>
      </w:r>
    </w:p>
    <w:p w14:paraId="68622D34" w14:textId="77777777"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D43BD9">
        <w:rPr>
          <w:rFonts w:ascii="Times New Roman" w:eastAsiaTheme="minorEastAsia" w:hAnsi="Times New Roman" w:cs="Times New Roman"/>
          <w:bCs/>
          <w:sz w:val="26"/>
          <w:szCs w:val="26"/>
          <w:u w:val="single"/>
          <w:lang w:eastAsia="fr-FR"/>
        </w:rPr>
        <w:t>En premier lieu</w:t>
      </w:r>
      <w:r>
        <w:rPr>
          <w:rFonts w:ascii="Times New Roman" w:eastAsiaTheme="minorEastAsia" w:hAnsi="Times New Roman" w:cs="Times New Roman"/>
          <w:bCs/>
          <w:sz w:val="26"/>
          <w:szCs w:val="26"/>
          <w:lang w:eastAsia="fr-FR"/>
        </w:rPr>
        <w:t xml:space="preserve">, le tribunal administratif de Paris a entaché son jugement d’erreur de droit en considérant que les dispositions spéciales de la loi du 31 décembre 1971 </w:t>
      </w:r>
      <w:r w:rsidRPr="00C021B1">
        <w:rPr>
          <w:rFonts w:ascii="Times New Roman" w:eastAsiaTheme="minorEastAsia" w:hAnsi="Times New Roman" w:cs="Times New Roman"/>
          <w:bCs/>
          <w:sz w:val="26"/>
          <w:szCs w:val="26"/>
          <w:lang w:eastAsia="fr-FR"/>
        </w:rPr>
        <w:t>portant réforme de certaines professions judiciaires et juridiques</w:t>
      </w:r>
      <w:r>
        <w:rPr>
          <w:rFonts w:ascii="Times New Roman" w:eastAsiaTheme="minorEastAsia" w:hAnsi="Times New Roman" w:cs="Times New Roman"/>
          <w:bCs/>
          <w:sz w:val="26"/>
          <w:szCs w:val="26"/>
          <w:lang w:eastAsia="fr-FR"/>
        </w:rPr>
        <w:t xml:space="preserve"> dérogeaient aux dispositions générales de la loi du 17 juillet 1978 portant diverses mesures d’amélioration des relations entre l’administration et le public, aujourd’hui reprises par le code des relations entre le public et l’administration, et que les règles du droit commun relatives à la communication des documents administratifs n’étaient pas applicables en l’espèce (point 4 du jugement attaqué).</w:t>
      </w:r>
    </w:p>
    <w:p w14:paraId="4B6A55DD" w14:textId="45E3A82D"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C021B1">
        <w:rPr>
          <w:rFonts w:ascii="Times New Roman" w:eastAsiaTheme="minorEastAsia" w:hAnsi="Times New Roman" w:cs="Times New Roman"/>
          <w:bCs/>
          <w:sz w:val="26"/>
          <w:szCs w:val="26"/>
          <w:u w:val="single"/>
          <w:lang w:eastAsia="fr-FR"/>
        </w:rPr>
        <w:t xml:space="preserve">En </w:t>
      </w:r>
      <w:r w:rsidR="00392E1C">
        <w:rPr>
          <w:rFonts w:ascii="Times New Roman" w:eastAsiaTheme="minorEastAsia" w:hAnsi="Times New Roman" w:cs="Times New Roman"/>
          <w:bCs/>
          <w:sz w:val="26"/>
          <w:szCs w:val="26"/>
          <w:u w:val="single"/>
          <w:lang w:eastAsia="fr-FR"/>
        </w:rPr>
        <w:t>deuxième lieu</w:t>
      </w:r>
      <w:r>
        <w:rPr>
          <w:rFonts w:ascii="Times New Roman" w:eastAsiaTheme="minorEastAsia" w:hAnsi="Times New Roman" w:cs="Times New Roman"/>
          <w:bCs/>
          <w:sz w:val="26"/>
          <w:szCs w:val="26"/>
          <w:lang w:eastAsia="fr-FR"/>
        </w:rPr>
        <w:t xml:space="preserve">, le tribunal administratif de Paris a </w:t>
      </w:r>
      <w:r w:rsidR="00392E1C">
        <w:rPr>
          <w:rFonts w:ascii="Times New Roman" w:eastAsiaTheme="minorEastAsia" w:hAnsi="Times New Roman" w:cs="Times New Roman"/>
          <w:bCs/>
          <w:sz w:val="26"/>
          <w:szCs w:val="26"/>
          <w:lang w:eastAsia="fr-FR"/>
        </w:rPr>
        <w:t>également</w:t>
      </w:r>
      <w:r>
        <w:rPr>
          <w:rFonts w:ascii="Times New Roman" w:eastAsiaTheme="minorEastAsia" w:hAnsi="Times New Roman" w:cs="Times New Roman"/>
          <w:bCs/>
          <w:sz w:val="26"/>
          <w:szCs w:val="26"/>
          <w:lang w:eastAsia="fr-FR"/>
        </w:rPr>
        <w:t xml:space="preserve"> entaché son jugement d’erreur de droit en considérant que l’article 3 de la loi du 18 novembre 2016 de modernisation de la justice du XXIème siècle n’emportait</w:t>
      </w:r>
      <w:r w:rsidR="00392E1C">
        <w:rPr>
          <w:rFonts w:ascii="Times New Roman" w:eastAsiaTheme="minorEastAsia" w:hAnsi="Times New Roman" w:cs="Times New Roman"/>
          <w:bCs/>
          <w:sz w:val="26"/>
          <w:szCs w:val="26"/>
          <w:lang w:eastAsia="fr-FR"/>
        </w:rPr>
        <w:t xml:space="preserve"> aucune obligation</w:t>
      </w:r>
      <w:r>
        <w:rPr>
          <w:rFonts w:ascii="Times New Roman" w:eastAsiaTheme="minorEastAsia" w:hAnsi="Times New Roman" w:cs="Times New Roman"/>
          <w:bCs/>
          <w:sz w:val="26"/>
          <w:szCs w:val="26"/>
          <w:lang w:eastAsia="fr-FR"/>
        </w:rPr>
        <w:t xml:space="preserve"> </w:t>
      </w:r>
      <w:r w:rsidR="00392E1C" w:rsidRPr="00392E1C">
        <w:rPr>
          <w:rFonts w:ascii="Times New Roman" w:eastAsiaTheme="minorEastAsia" w:hAnsi="Times New Roman" w:cs="Times New Roman"/>
          <w:bCs/>
          <w:sz w:val="26"/>
          <w:szCs w:val="26"/>
          <w:lang w:eastAsia="fr-FR"/>
        </w:rPr>
        <w:t xml:space="preserve">de mise en ligne d’un annuaire des avocats </w:t>
      </w:r>
      <w:r>
        <w:rPr>
          <w:rFonts w:ascii="Times New Roman" w:eastAsiaTheme="minorEastAsia" w:hAnsi="Times New Roman" w:cs="Times New Roman"/>
          <w:bCs/>
          <w:sz w:val="26"/>
          <w:szCs w:val="26"/>
          <w:lang w:eastAsia="fr-FR"/>
        </w:rPr>
        <w:t>(point 6 du jugement attaqué).</w:t>
      </w:r>
    </w:p>
    <w:p w14:paraId="496CDC59" w14:textId="00679D53"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u w:val="single"/>
          <w:lang w:eastAsia="fr-FR"/>
        </w:rPr>
        <w:t xml:space="preserve">En </w:t>
      </w:r>
      <w:r w:rsidR="00392E1C">
        <w:rPr>
          <w:rFonts w:ascii="Times New Roman" w:eastAsiaTheme="minorEastAsia" w:hAnsi="Times New Roman" w:cs="Times New Roman"/>
          <w:bCs/>
          <w:sz w:val="26"/>
          <w:szCs w:val="26"/>
          <w:u w:val="single"/>
          <w:lang w:eastAsia="fr-FR"/>
        </w:rPr>
        <w:t>troisième</w:t>
      </w:r>
      <w:r>
        <w:rPr>
          <w:rFonts w:ascii="Times New Roman" w:eastAsiaTheme="minorEastAsia" w:hAnsi="Times New Roman" w:cs="Times New Roman"/>
          <w:bCs/>
          <w:sz w:val="26"/>
          <w:szCs w:val="26"/>
          <w:u w:val="single"/>
          <w:lang w:eastAsia="fr-FR"/>
        </w:rPr>
        <w:t xml:space="preserve"> lieu</w:t>
      </w:r>
      <w:r>
        <w:rPr>
          <w:rFonts w:ascii="Times New Roman" w:eastAsiaTheme="minorEastAsia" w:hAnsi="Times New Roman" w:cs="Times New Roman"/>
          <w:bCs/>
          <w:sz w:val="26"/>
          <w:szCs w:val="26"/>
          <w:lang w:eastAsia="fr-FR"/>
        </w:rPr>
        <w:t xml:space="preserve">, le tribunal administratif de Paris a </w:t>
      </w:r>
      <w:r w:rsidR="00392E1C">
        <w:rPr>
          <w:rFonts w:ascii="Times New Roman" w:eastAsiaTheme="minorEastAsia" w:hAnsi="Times New Roman" w:cs="Times New Roman"/>
          <w:bCs/>
          <w:sz w:val="26"/>
          <w:szCs w:val="26"/>
          <w:lang w:eastAsia="fr-FR"/>
        </w:rPr>
        <w:t xml:space="preserve">encore </w:t>
      </w:r>
      <w:r>
        <w:rPr>
          <w:rFonts w:ascii="Times New Roman" w:eastAsiaTheme="minorEastAsia" w:hAnsi="Times New Roman" w:cs="Times New Roman"/>
          <w:bCs/>
          <w:sz w:val="26"/>
          <w:szCs w:val="26"/>
          <w:lang w:eastAsia="fr-FR"/>
        </w:rPr>
        <w:t xml:space="preserve">entaché son jugement d’erreur de droit </w:t>
      </w:r>
      <w:r w:rsidR="00392E1C">
        <w:rPr>
          <w:rFonts w:ascii="Times New Roman" w:eastAsiaTheme="minorEastAsia" w:hAnsi="Times New Roman" w:cs="Times New Roman"/>
          <w:bCs/>
          <w:sz w:val="26"/>
          <w:szCs w:val="26"/>
          <w:lang w:eastAsia="fr-FR"/>
        </w:rPr>
        <w:t>en considérant que l’association ne pouvait pas utilement invoquer les dispositions des articles L. 211-1 et L. 213-1 du code du patrimoine</w:t>
      </w:r>
      <w:r>
        <w:rPr>
          <w:rFonts w:ascii="Times New Roman" w:eastAsiaTheme="minorEastAsia" w:hAnsi="Times New Roman" w:cs="Times New Roman"/>
          <w:bCs/>
          <w:sz w:val="26"/>
          <w:szCs w:val="26"/>
          <w:lang w:eastAsia="fr-FR"/>
        </w:rPr>
        <w:t xml:space="preserve"> (point 7 du jugement attaqué).</w:t>
      </w:r>
    </w:p>
    <w:p w14:paraId="4870A28F" w14:textId="77777777" w:rsidR="00392E1C" w:rsidRDefault="00392E1C" w:rsidP="00E7205C">
      <w:pPr>
        <w:tabs>
          <w:tab w:val="left" w:pos="1701"/>
        </w:tabs>
        <w:spacing w:before="120" w:after="120" w:line="240" w:lineRule="auto"/>
        <w:ind w:left="567" w:right="6"/>
        <w:jc w:val="both"/>
        <w:rPr>
          <w:rFonts w:ascii="Times New Roman" w:eastAsiaTheme="minorEastAsia" w:hAnsi="Times New Roman" w:cs="Times New Roman"/>
          <w:bCs/>
          <w:sz w:val="26"/>
          <w:szCs w:val="26"/>
          <w:u w:val="single"/>
          <w:lang w:eastAsia="fr-FR"/>
        </w:rPr>
      </w:pPr>
    </w:p>
    <w:p w14:paraId="73743114" w14:textId="77777777" w:rsidR="00392E1C" w:rsidRDefault="00392E1C" w:rsidP="00E7205C">
      <w:pPr>
        <w:tabs>
          <w:tab w:val="left" w:pos="1701"/>
        </w:tabs>
        <w:spacing w:before="120" w:after="120" w:line="240" w:lineRule="auto"/>
        <w:ind w:left="567" w:right="6"/>
        <w:jc w:val="both"/>
        <w:rPr>
          <w:rFonts w:ascii="Times New Roman" w:eastAsiaTheme="minorEastAsia" w:hAnsi="Times New Roman" w:cs="Times New Roman"/>
          <w:bCs/>
          <w:sz w:val="26"/>
          <w:szCs w:val="26"/>
          <w:u w:val="single"/>
          <w:lang w:eastAsia="fr-FR"/>
        </w:rPr>
      </w:pPr>
    </w:p>
    <w:p w14:paraId="704E0CBC" w14:textId="69419394" w:rsidR="00E7205C"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u w:val="single"/>
          <w:lang w:eastAsia="fr-FR"/>
        </w:rPr>
        <w:lastRenderedPageBreak/>
        <w:t xml:space="preserve">En </w:t>
      </w:r>
      <w:r w:rsidR="00392E1C">
        <w:rPr>
          <w:rFonts w:ascii="Times New Roman" w:eastAsiaTheme="minorEastAsia" w:hAnsi="Times New Roman" w:cs="Times New Roman"/>
          <w:bCs/>
          <w:sz w:val="26"/>
          <w:szCs w:val="26"/>
          <w:u w:val="single"/>
          <w:lang w:eastAsia="fr-FR"/>
        </w:rPr>
        <w:t>quatrième</w:t>
      </w:r>
      <w:r>
        <w:rPr>
          <w:rFonts w:ascii="Times New Roman" w:eastAsiaTheme="minorEastAsia" w:hAnsi="Times New Roman" w:cs="Times New Roman"/>
          <w:bCs/>
          <w:sz w:val="26"/>
          <w:szCs w:val="26"/>
          <w:u w:val="single"/>
          <w:lang w:eastAsia="fr-FR"/>
        </w:rPr>
        <w:t xml:space="preserve"> lieu</w:t>
      </w:r>
      <w:r>
        <w:rPr>
          <w:rFonts w:ascii="Times New Roman" w:eastAsiaTheme="minorEastAsia" w:hAnsi="Times New Roman" w:cs="Times New Roman"/>
          <w:bCs/>
          <w:sz w:val="26"/>
          <w:szCs w:val="26"/>
          <w:lang w:eastAsia="fr-FR"/>
        </w:rPr>
        <w:t>, le tribunal administratif de Paris a entaché son jugement d’erreur de droit et d’erreur de qualification juridique des faits en considérant que l’absence d’une telle obligation n’était pas de nature à porter atteinte à la liberté d’expression et d’information garantie par l’article 10 de la convention européenne de sauvegarde des droits de l’Homme et des libertés fondamentales et l’article 11 de la Charte des droits fondamentaux de l’Union européenne.</w:t>
      </w:r>
    </w:p>
    <w:p w14:paraId="13C7755A" w14:textId="00DE247E" w:rsidR="00392E1C" w:rsidRDefault="00392E1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u w:val="single"/>
          <w:lang w:eastAsia="fr-FR"/>
        </w:rPr>
        <w:t>En cinquième lieu</w:t>
      </w:r>
      <w:r>
        <w:rPr>
          <w:rFonts w:ascii="Times New Roman" w:eastAsiaTheme="minorEastAsia" w:hAnsi="Times New Roman" w:cs="Times New Roman"/>
          <w:bCs/>
          <w:sz w:val="26"/>
          <w:szCs w:val="26"/>
          <w:lang w:eastAsia="fr-FR"/>
        </w:rPr>
        <w:t>, le tribunal administratif de Paris a entaché son jugement de dénaturation en considérant qu’il n’était sérieusement contesté que la liste des personnes morales demandée par l’association n’existait pas (point 9 du jugement attaqué).</w:t>
      </w:r>
    </w:p>
    <w:p w14:paraId="652AAD5E" w14:textId="74E8851F" w:rsidR="00392E1C" w:rsidRPr="004549D4" w:rsidRDefault="00392E1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u w:val="single"/>
          <w:lang w:eastAsia="fr-FR"/>
        </w:rPr>
        <w:t>En sixième et dernier lieu</w:t>
      </w:r>
      <w:r>
        <w:rPr>
          <w:rFonts w:ascii="Times New Roman" w:eastAsiaTheme="minorEastAsia" w:hAnsi="Times New Roman" w:cs="Times New Roman"/>
          <w:bCs/>
          <w:sz w:val="26"/>
          <w:szCs w:val="26"/>
          <w:lang w:eastAsia="fr-FR"/>
        </w:rPr>
        <w:t xml:space="preserve">, le tribunal administratif de Paris a enfin entaché son arrêt d’erreur de droit et d’erreur de qualification juridiques des faits en considérant que le refus de communication de la liste des personnes morales exerçant la profession d’avocat ne méconnaissait pas </w:t>
      </w:r>
      <w:r w:rsidR="004D192A">
        <w:rPr>
          <w:rFonts w:ascii="Times New Roman" w:eastAsiaTheme="minorEastAsia" w:hAnsi="Times New Roman" w:cs="Times New Roman"/>
          <w:bCs/>
          <w:sz w:val="26"/>
          <w:szCs w:val="26"/>
          <w:lang w:eastAsia="fr-FR"/>
        </w:rPr>
        <w:t>l</w:t>
      </w:r>
      <w:r w:rsidR="004D192A" w:rsidRPr="004D192A">
        <w:rPr>
          <w:rFonts w:ascii="Times New Roman" w:eastAsiaTheme="minorEastAsia" w:hAnsi="Times New Roman" w:cs="Times New Roman"/>
          <w:bCs/>
          <w:sz w:val="26"/>
          <w:szCs w:val="26"/>
          <w:lang w:eastAsia="fr-FR"/>
        </w:rPr>
        <w:t>es articles L. 211-1 et L. 213-1 du code du patrimoine</w:t>
      </w:r>
      <w:r w:rsidR="004D192A">
        <w:rPr>
          <w:rFonts w:ascii="Times New Roman" w:eastAsiaTheme="minorEastAsia" w:hAnsi="Times New Roman" w:cs="Times New Roman"/>
          <w:bCs/>
          <w:sz w:val="26"/>
          <w:szCs w:val="26"/>
          <w:lang w:eastAsia="fr-FR"/>
        </w:rPr>
        <w:t xml:space="preserve"> et les articles</w:t>
      </w:r>
      <w:r w:rsidR="004D192A" w:rsidRPr="004D192A">
        <w:rPr>
          <w:rFonts w:ascii="Times New Roman" w:eastAsiaTheme="minorEastAsia" w:hAnsi="Times New Roman" w:cs="Times New Roman"/>
          <w:bCs/>
          <w:sz w:val="26"/>
          <w:szCs w:val="26"/>
          <w:lang w:eastAsia="fr-FR"/>
        </w:rPr>
        <w:t xml:space="preserve"> 10 de la </w:t>
      </w:r>
      <w:r w:rsidR="004D192A">
        <w:rPr>
          <w:rFonts w:ascii="Times New Roman" w:eastAsiaTheme="minorEastAsia" w:hAnsi="Times New Roman" w:cs="Times New Roman"/>
          <w:bCs/>
          <w:sz w:val="26"/>
          <w:szCs w:val="26"/>
          <w:lang w:eastAsia="fr-FR"/>
        </w:rPr>
        <w:t>C</w:t>
      </w:r>
      <w:r w:rsidR="004D192A" w:rsidRPr="004D192A">
        <w:rPr>
          <w:rFonts w:ascii="Times New Roman" w:eastAsiaTheme="minorEastAsia" w:hAnsi="Times New Roman" w:cs="Times New Roman"/>
          <w:bCs/>
          <w:sz w:val="26"/>
          <w:szCs w:val="26"/>
          <w:lang w:eastAsia="fr-FR"/>
        </w:rPr>
        <w:t>onvention européenne de sauvegarde des droits de l’Homme et des libertés fondamentales et  11 de la Charte des droits fondamentaux de l’Union européenne</w:t>
      </w:r>
      <w:r w:rsidR="004D192A">
        <w:rPr>
          <w:rFonts w:ascii="Times New Roman" w:eastAsiaTheme="minorEastAsia" w:hAnsi="Times New Roman" w:cs="Times New Roman"/>
          <w:bCs/>
          <w:sz w:val="26"/>
          <w:szCs w:val="26"/>
          <w:lang w:eastAsia="fr-FR"/>
        </w:rPr>
        <w:t>.</w:t>
      </w:r>
    </w:p>
    <w:p w14:paraId="7D4B704B"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lang w:eastAsia="fr-FR"/>
        </w:rPr>
        <w:t>La censure s’impose</w:t>
      </w:r>
      <w:r>
        <w:rPr>
          <w:rFonts w:ascii="Times New Roman" w:eastAsiaTheme="minorEastAsia" w:hAnsi="Times New Roman" w:cs="Times New Roman"/>
          <w:bCs/>
          <w:sz w:val="26"/>
          <w:szCs w:val="26"/>
          <w:lang w:eastAsia="fr-FR"/>
        </w:rPr>
        <w:t xml:space="preserve"> définitivement</w:t>
      </w:r>
      <w:r w:rsidRPr="004549D4">
        <w:rPr>
          <w:rFonts w:ascii="Times New Roman" w:eastAsiaTheme="minorEastAsia" w:hAnsi="Times New Roman" w:cs="Times New Roman"/>
          <w:bCs/>
          <w:sz w:val="26"/>
          <w:szCs w:val="26"/>
          <w:lang w:eastAsia="fr-FR"/>
        </w:rPr>
        <w:t>.</w:t>
      </w:r>
    </w:p>
    <w:p w14:paraId="521FF1F1" w14:textId="77777777" w:rsidR="00E7205C" w:rsidRPr="004549D4" w:rsidRDefault="00E7205C" w:rsidP="00E7205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E919EC4" w14:textId="77777777" w:rsidR="00E7205C" w:rsidRPr="004549D4" w:rsidRDefault="00E7205C" w:rsidP="00E7205C">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lang w:eastAsia="fr-FR"/>
        </w:rPr>
        <w:t>*</w:t>
      </w:r>
    </w:p>
    <w:p w14:paraId="45CD38ED" w14:textId="1747F3FF" w:rsidR="00E7205C" w:rsidRDefault="00E7205C" w:rsidP="00E7205C">
      <w:pPr>
        <w:rPr>
          <w:rFonts w:ascii="Times New Roman" w:eastAsiaTheme="minorEastAsia" w:hAnsi="Times New Roman" w:cs="Times New Roman"/>
          <w:b/>
          <w:sz w:val="26"/>
          <w:szCs w:val="26"/>
          <w:u w:val="single"/>
          <w:lang w:eastAsia="fr-FR"/>
        </w:rPr>
      </w:pPr>
    </w:p>
    <w:p w14:paraId="3D0604A8" w14:textId="77777777" w:rsidR="004D192A" w:rsidRDefault="004D192A">
      <w:pPr>
        <w:rPr>
          <w:rFonts w:ascii="Times New Roman" w:eastAsiaTheme="minorEastAsia" w:hAnsi="Times New Roman" w:cs="Times New Roman"/>
          <w:b/>
          <w:sz w:val="26"/>
          <w:szCs w:val="26"/>
          <w:u w:val="single"/>
          <w:lang w:eastAsia="fr-FR"/>
        </w:rPr>
      </w:pPr>
      <w:r>
        <w:rPr>
          <w:rFonts w:ascii="Times New Roman" w:eastAsiaTheme="minorEastAsia" w:hAnsi="Times New Roman" w:cs="Times New Roman"/>
          <w:b/>
          <w:sz w:val="26"/>
          <w:szCs w:val="26"/>
          <w:u w:val="single"/>
          <w:lang w:eastAsia="fr-FR"/>
        </w:rPr>
        <w:br w:type="page"/>
      </w:r>
    </w:p>
    <w:p w14:paraId="6D0DC239" w14:textId="3E682952" w:rsidR="00E7205C" w:rsidRPr="004549D4" w:rsidRDefault="00E7205C" w:rsidP="00E7205C">
      <w:pPr>
        <w:tabs>
          <w:tab w:val="left" w:pos="1701"/>
        </w:tabs>
        <w:spacing w:before="120" w:after="120" w:line="240" w:lineRule="auto"/>
        <w:ind w:left="567" w:right="6"/>
        <w:jc w:val="center"/>
        <w:rPr>
          <w:rFonts w:ascii="Times New Roman" w:eastAsiaTheme="minorEastAsia" w:hAnsi="Times New Roman" w:cs="Times New Roman"/>
          <w:b/>
          <w:sz w:val="26"/>
          <w:szCs w:val="26"/>
          <w:u w:val="single"/>
          <w:lang w:eastAsia="fr-FR"/>
        </w:rPr>
      </w:pPr>
      <w:r w:rsidRPr="004549D4">
        <w:rPr>
          <w:rFonts w:ascii="Times New Roman" w:eastAsiaTheme="minorEastAsia" w:hAnsi="Times New Roman" w:cs="Times New Roman"/>
          <w:b/>
          <w:sz w:val="26"/>
          <w:szCs w:val="26"/>
          <w:u w:val="single"/>
          <w:lang w:eastAsia="fr-FR"/>
        </w:rPr>
        <w:lastRenderedPageBreak/>
        <w:t>PAR CES MOTIFS</w:t>
      </w:r>
    </w:p>
    <w:p w14:paraId="43E0F4A6" w14:textId="77777777" w:rsidR="00E7205C" w:rsidRPr="004549D4" w:rsidRDefault="00E7205C" w:rsidP="00E7205C">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28166C88" w14:textId="77777777" w:rsidR="00E7205C" w:rsidRPr="004549D4" w:rsidRDefault="00E7205C" w:rsidP="00E7205C">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7F4E6A47" w14:textId="77777777" w:rsidR="00E7205C" w:rsidRPr="004549D4" w:rsidRDefault="00E7205C" w:rsidP="00E7205C">
      <w:pPr>
        <w:keepLines/>
        <w:tabs>
          <w:tab w:val="left" w:pos="1701"/>
          <w:tab w:val="center" w:pos="1985"/>
        </w:tabs>
        <w:spacing w:before="120" w:after="120" w:line="240" w:lineRule="auto"/>
        <w:ind w:left="567"/>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 xml:space="preserve">Et tous autres à produire, déduire ou suppléer, au besoin même d’office, </w:t>
      </w:r>
      <w:r>
        <w:rPr>
          <w:rFonts w:ascii="Times New Roman" w:eastAsiaTheme="minorEastAsia" w:hAnsi="Times New Roman" w:cs="Times New Roman"/>
          <w:sz w:val="26"/>
          <w:szCs w:val="26"/>
          <w:lang w:eastAsia="fr-FR"/>
        </w:rPr>
        <w:t>l’association « Ouvre-boîte »</w:t>
      </w:r>
      <w:r w:rsidRPr="004549D4">
        <w:rPr>
          <w:rFonts w:ascii="Times New Roman" w:eastAsiaTheme="minorEastAsia" w:hAnsi="Times New Roman" w:cs="Times New Roman"/>
          <w:sz w:val="26"/>
          <w:szCs w:val="26"/>
          <w:lang w:eastAsia="fr-FR"/>
        </w:rPr>
        <w:t xml:space="preserve"> demande à ce qu’il plaise au Conseil d’</w:t>
      </w:r>
      <w:proofErr w:type="spellStart"/>
      <w:r w:rsidRPr="004549D4">
        <w:rPr>
          <w:rFonts w:ascii="Times New Roman" w:eastAsiaTheme="minorEastAsia" w:hAnsi="Times New Roman" w:cs="Times New Roman"/>
          <w:sz w:val="26"/>
          <w:szCs w:val="26"/>
          <w:lang w:eastAsia="fr-FR"/>
        </w:rPr>
        <w:t>Etat</w:t>
      </w:r>
      <w:proofErr w:type="spellEnd"/>
      <w:r w:rsidRPr="004549D4">
        <w:rPr>
          <w:rFonts w:ascii="Times New Roman" w:eastAsiaTheme="minorEastAsia" w:hAnsi="Times New Roman" w:cs="Times New Roman"/>
          <w:sz w:val="26"/>
          <w:szCs w:val="26"/>
          <w:lang w:eastAsia="fr-FR"/>
        </w:rPr>
        <w:t> :</w:t>
      </w:r>
    </w:p>
    <w:p w14:paraId="7E5033EE" w14:textId="77777777" w:rsidR="00E7205C" w:rsidRPr="004549D4" w:rsidRDefault="00E7205C" w:rsidP="00E7205C">
      <w:pPr>
        <w:keepLines/>
        <w:numPr>
          <w:ilvl w:val="0"/>
          <w:numId w:val="1"/>
        </w:numPr>
        <w:tabs>
          <w:tab w:val="left" w:pos="1276"/>
          <w:tab w:val="center" w:pos="2127"/>
        </w:tabs>
        <w:spacing w:before="120" w:after="120" w:line="240" w:lineRule="auto"/>
        <w:ind w:left="567" w:firstLine="284"/>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b/>
          <w:sz w:val="26"/>
          <w:szCs w:val="26"/>
          <w:lang w:eastAsia="fr-FR"/>
        </w:rPr>
        <w:t>ANNULER</w:t>
      </w:r>
      <w:r w:rsidRPr="004549D4">
        <w:rPr>
          <w:rFonts w:ascii="Times New Roman" w:eastAsiaTheme="minorEastAsia" w:hAnsi="Times New Roman" w:cs="Times New Roman"/>
          <w:sz w:val="26"/>
          <w:szCs w:val="26"/>
          <w:lang w:eastAsia="fr-FR"/>
        </w:rPr>
        <w:t xml:space="preserve"> </w:t>
      </w:r>
      <w:r>
        <w:rPr>
          <w:rFonts w:ascii="Times New Roman" w:eastAsiaTheme="minorEastAsia" w:hAnsi="Times New Roman" w:cs="Times New Roman"/>
          <w:sz w:val="26"/>
          <w:szCs w:val="26"/>
          <w:lang w:eastAsia="fr-FR"/>
        </w:rPr>
        <w:t>le jugement</w:t>
      </w:r>
      <w:r w:rsidRPr="004549D4">
        <w:rPr>
          <w:rFonts w:ascii="Times New Roman" w:eastAsiaTheme="minorEastAsia" w:hAnsi="Times New Roman" w:cs="Times New Roman"/>
          <w:sz w:val="26"/>
          <w:szCs w:val="26"/>
          <w:lang w:eastAsia="fr-FR"/>
        </w:rPr>
        <w:t xml:space="preserve"> attaqué, avec toutes conséquences de droit ;</w:t>
      </w:r>
    </w:p>
    <w:p w14:paraId="65E52154" w14:textId="77777777" w:rsidR="00E7205C" w:rsidRPr="004549D4" w:rsidRDefault="00E7205C" w:rsidP="00E7205C">
      <w:pPr>
        <w:keepLines/>
        <w:numPr>
          <w:ilvl w:val="0"/>
          <w:numId w:val="1"/>
        </w:numPr>
        <w:tabs>
          <w:tab w:val="left" w:pos="1276"/>
          <w:tab w:val="center" w:pos="2127"/>
        </w:tabs>
        <w:spacing w:before="120" w:after="120" w:line="240" w:lineRule="auto"/>
        <w:ind w:left="567" w:firstLine="284"/>
        <w:jc w:val="both"/>
        <w:rPr>
          <w:rFonts w:ascii="Times New Roman" w:eastAsiaTheme="minorEastAsia" w:hAnsi="Times New Roman" w:cs="Times New Roman"/>
          <w:sz w:val="26"/>
          <w:szCs w:val="26"/>
          <w:lang w:eastAsia="fr-FR"/>
        </w:rPr>
      </w:pPr>
      <w:proofErr w:type="gramStart"/>
      <w:r w:rsidRPr="004549D4">
        <w:rPr>
          <w:rFonts w:ascii="Times New Roman" w:eastAsiaTheme="minorEastAsia" w:hAnsi="Times New Roman" w:cs="Times New Roman"/>
          <w:bCs/>
          <w:sz w:val="26"/>
          <w:szCs w:val="26"/>
          <w:lang w:eastAsia="fr-FR"/>
        </w:rPr>
        <w:t>réglant</w:t>
      </w:r>
      <w:proofErr w:type="gramEnd"/>
      <w:r w:rsidRPr="004549D4">
        <w:rPr>
          <w:rFonts w:ascii="Times New Roman" w:eastAsiaTheme="minorEastAsia" w:hAnsi="Times New Roman" w:cs="Times New Roman"/>
          <w:bCs/>
          <w:sz w:val="26"/>
          <w:szCs w:val="26"/>
          <w:lang w:eastAsia="fr-FR"/>
        </w:rPr>
        <w:t xml:space="preserve"> l’affaire au fond,</w:t>
      </w:r>
      <w:r w:rsidRPr="004549D4">
        <w:rPr>
          <w:rFonts w:ascii="Times New Roman" w:eastAsiaTheme="minorEastAsia" w:hAnsi="Times New Roman" w:cs="Times New Roman"/>
          <w:b/>
          <w:sz w:val="26"/>
          <w:szCs w:val="26"/>
          <w:lang w:eastAsia="fr-FR"/>
        </w:rPr>
        <w:t xml:space="preserve"> FAIRE DROIT</w:t>
      </w:r>
      <w:r w:rsidRPr="004549D4">
        <w:rPr>
          <w:rFonts w:ascii="Times New Roman" w:eastAsiaTheme="minorEastAsia" w:hAnsi="Times New Roman" w:cs="Times New Roman"/>
          <w:bCs/>
          <w:sz w:val="26"/>
          <w:szCs w:val="26"/>
          <w:lang w:eastAsia="fr-FR"/>
        </w:rPr>
        <w:t xml:space="preserve"> aux conclusions de </w:t>
      </w:r>
      <w:r>
        <w:rPr>
          <w:rFonts w:ascii="Times New Roman" w:eastAsiaTheme="minorEastAsia" w:hAnsi="Times New Roman" w:cs="Times New Roman"/>
          <w:bCs/>
          <w:sz w:val="26"/>
          <w:szCs w:val="26"/>
          <w:lang w:eastAsia="fr-FR"/>
        </w:rPr>
        <w:t>sa demande de première instance</w:t>
      </w:r>
      <w:r w:rsidRPr="004549D4">
        <w:rPr>
          <w:rFonts w:ascii="Times New Roman" w:eastAsiaTheme="minorEastAsia" w:hAnsi="Times New Roman" w:cs="Times New Roman"/>
          <w:bCs/>
          <w:sz w:val="26"/>
          <w:szCs w:val="26"/>
          <w:lang w:eastAsia="fr-FR"/>
        </w:rPr>
        <w:t> ;</w:t>
      </w:r>
    </w:p>
    <w:p w14:paraId="223C74B3" w14:textId="3CEBD421" w:rsidR="00E7205C" w:rsidRPr="004549D4" w:rsidRDefault="00E7205C" w:rsidP="00E7205C">
      <w:pPr>
        <w:keepLines/>
        <w:numPr>
          <w:ilvl w:val="0"/>
          <w:numId w:val="1"/>
        </w:numPr>
        <w:tabs>
          <w:tab w:val="left" w:pos="1276"/>
          <w:tab w:val="center" w:pos="2127"/>
        </w:tabs>
        <w:spacing w:before="120" w:after="120" w:line="240" w:lineRule="auto"/>
        <w:ind w:left="567" w:firstLine="284"/>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b/>
          <w:sz w:val="26"/>
          <w:szCs w:val="26"/>
          <w:lang w:eastAsia="fr-FR"/>
        </w:rPr>
        <w:t>METTRE A LA CHARGE</w:t>
      </w:r>
      <w:r w:rsidRPr="004549D4">
        <w:rPr>
          <w:rFonts w:ascii="Times New Roman" w:eastAsiaTheme="minorEastAsia" w:hAnsi="Times New Roman" w:cs="Times New Roman"/>
          <w:sz w:val="26"/>
          <w:szCs w:val="26"/>
          <w:lang w:eastAsia="fr-FR"/>
        </w:rPr>
        <w:t xml:space="preserve"> </w:t>
      </w:r>
      <w:r w:rsidR="004D192A">
        <w:rPr>
          <w:rFonts w:ascii="Times New Roman" w:eastAsiaTheme="minorEastAsia" w:hAnsi="Times New Roman" w:cs="Times New Roman"/>
          <w:sz w:val="26"/>
          <w:szCs w:val="26"/>
          <w:lang w:eastAsia="fr-FR"/>
        </w:rPr>
        <w:t>du Conseil national des barreaux</w:t>
      </w:r>
      <w:r>
        <w:rPr>
          <w:rFonts w:ascii="Times New Roman" w:eastAsiaTheme="minorEastAsia" w:hAnsi="Times New Roman" w:cs="Times New Roman"/>
          <w:sz w:val="26"/>
          <w:szCs w:val="26"/>
          <w:lang w:eastAsia="fr-FR"/>
        </w:rPr>
        <w:t xml:space="preserve"> </w:t>
      </w:r>
      <w:r w:rsidRPr="004549D4">
        <w:rPr>
          <w:rFonts w:ascii="Times New Roman" w:eastAsiaTheme="minorEastAsia" w:hAnsi="Times New Roman" w:cs="Times New Roman"/>
          <w:sz w:val="26"/>
          <w:szCs w:val="26"/>
          <w:lang w:eastAsia="fr-FR"/>
        </w:rPr>
        <w:t>une somme de 5.000 euros au titre de l’article L. 761-1 du code de justice administrative.</w:t>
      </w:r>
    </w:p>
    <w:p w14:paraId="0455C10F" w14:textId="77777777" w:rsidR="00E7205C" w:rsidRPr="004549D4" w:rsidRDefault="00E7205C" w:rsidP="00E7205C">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68DC219B" w14:textId="77777777" w:rsidR="00E7205C" w:rsidRPr="004549D4" w:rsidRDefault="00E7205C" w:rsidP="00E7205C">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60022A3F" w14:textId="77777777" w:rsidR="00E7205C" w:rsidRPr="004549D4" w:rsidRDefault="00E7205C" w:rsidP="00E7205C">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4E1BA527" w14:textId="77777777" w:rsidR="00E7205C" w:rsidRPr="004549D4" w:rsidRDefault="00E7205C" w:rsidP="00E7205C">
      <w:pPr>
        <w:keepLines/>
        <w:tabs>
          <w:tab w:val="left" w:pos="1701"/>
          <w:tab w:val="center" w:pos="4536"/>
        </w:tabs>
        <w:spacing w:after="0" w:line="240" w:lineRule="auto"/>
        <w:ind w:firstLine="709"/>
        <w:jc w:val="center"/>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SCP NICOLAŸ – de LANOUVELLE – HANNOTIN</w:t>
      </w:r>
    </w:p>
    <w:p w14:paraId="159BA316" w14:textId="77777777" w:rsidR="00E7205C" w:rsidRPr="004549D4" w:rsidRDefault="00E7205C" w:rsidP="00E7205C">
      <w:pPr>
        <w:keepLines/>
        <w:tabs>
          <w:tab w:val="left" w:pos="1701"/>
          <w:tab w:val="center" w:pos="4536"/>
        </w:tabs>
        <w:spacing w:after="0" w:line="240" w:lineRule="auto"/>
        <w:ind w:firstLine="709"/>
        <w:jc w:val="center"/>
      </w:pPr>
      <w:r w:rsidRPr="004549D4">
        <w:rPr>
          <w:rFonts w:ascii="Times New Roman" w:eastAsiaTheme="minorEastAsia" w:hAnsi="Times New Roman" w:cs="Times New Roman"/>
          <w:sz w:val="26"/>
          <w:szCs w:val="26"/>
          <w:lang w:eastAsia="fr-FR"/>
        </w:rPr>
        <w:t>Avocat au Conseil d’État et à la Cour de cassation</w:t>
      </w:r>
    </w:p>
    <w:p w14:paraId="0ECC3546" w14:textId="77777777" w:rsidR="00E7205C" w:rsidRPr="004549D4" w:rsidRDefault="00E7205C" w:rsidP="00E7205C">
      <w:pPr>
        <w:spacing w:after="160" w:line="259" w:lineRule="auto"/>
      </w:pPr>
    </w:p>
    <w:p w14:paraId="4B246D56" w14:textId="77777777" w:rsidR="00E7205C" w:rsidRPr="004549D4" w:rsidRDefault="00E7205C" w:rsidP="00E7205C">
      <w:pPr>
        <w:spacing w:after="160" w:line="259" w:lineRule="auto"/>
      </w:pPr>
    </w:p>
    <w:p w14:paraId="4F834AD7" w14:textId="77777777" w:rsidR="00E7205C" w:rsidRPr="004549D4" w:rsidRDefault="00E7205C" w:rsidP="00E7205C">
      <w:pPr>
        <w:spacing w:after="160" w:line="259" w:lineRule="auto"/>
      </w:pPr>
    </w:p>
    <w:p w14:paraId="7ADB08B2" w14:textId="77777777" w:rsidR="00E7205C" w:rsidRDefault="00E7205C" w:rsidP="00E7205C"/>
    <w:p w14:paraId="7DE139A4" w14:textId="77777777" w:rsidR="00131150" w:rsidRDefault="00131150"/>
    <w:sectPr w:rsidR="00131150" w:rsidSect="00B93FB8">
      <w:headerReference w:type="even" r:id="rId7"/>
      <w:headerReference w:type="default" r:id="rId8"/>
      <w:headerReference w:type="first" r:id="rId9"/>
      <w:pgSz w:w="11900" w:h="16840"/>
      <w:pgMar w:top="1418" w:right="1701" w:bottom="1418"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25A3" w14:textId="77777777" w:rsidR="00DA2D66" w:rsidRDefault="00DA2D66">
      <w:pPr>
        <w:spacing w:after="0" w:line="240" w:lineRule="auto"/>
      </w:pPr>
      <w:r>
        <w:separator/>
      </w:r>
    </w:p>
  </w:endnote>
  <w:endnote w:type="continuationSeparator" w:id="0">
    <w:p w14:paraId="4EC2264E" w14:textId="77777777" w:rsidR="00DA2D66" w:rsidRDefault="00DA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9C428" w14:textId="77777777" w:rsidR="00DA2D66" w:rsidRDefault="00DA2D66">
      <w:pPr>
        <w:spacing w:after="0" w:line="240" w:lineRule="auto"/>
      </w:pPr>
      <w:r>
        <w:separator/>
      </w:r>
    </w:p>
  </w:footnote>
  <w:footnote w:type="continuationSeparator" w:id="0">
    <w:p w14:paraId="26FD41C7" w14:textId="77777777" w:rsidR="00DA2D66" w:rsidRDefault="00DA2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98C3" w14:textId="77777777" w:rsidR="004E4B84" w:rsidRDefault="004D192A" w:rsidP="00EF4B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653AB" w14:textId="77777777" w:rsidR="004E4B84" w:rsidRDefault="00DA2D66" w:rsidP="00B93F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4885" w14:textId="77777777" w:rsidR="004E4B84" w:rsidRPr="00B93FB8" w:rsidRDefault="004D192A" w:rsidP="00EF4B34">
    <w:pPr>
      <w:pStyle w:val="Header"/>
      <w:framePr w:wrap="around" w:vAnchor="text" w:hAnchor="margin" w:xAlign="right" w:y="1"/>
      <w:rPr>
        <w:rStyle w:val="PageNumber"/>
        <w:rFonts w:ascii="Times New Roman" w:hAnsi="Times New Roman" w:cs="Times New Roman"/>
      </w:rPr>
    </w:pPr>
    <w:r w:rsidRPr="00B93FB8">
      <w:rPr>
        <w:rStyle w:val="PageNumber"/>
        <w:rFonts w:ascii="Times New Roman" w:hAnsi="Times New Roman" w:cs="Times New Roman"/>
      </w:rPr>
      <w:fldChar w:fldCharType="begin"/>
    </w:r>
    <w:r w:rsidRPr="00B93FB8">
      <w:rPr>
        <w:rStyle w:val="PageNumber"/>
        <w:rFonts w:ascii="Times New Roman" w:hAnsi="Times New Roman" w:cs="Times New Roman"/>
      </w:rPr>
      <w:instrText xml:space="preserve">PAGE  </w:instrText>
    </w:r>
    <w:r w:rsidRPr="00B93FB8">
      <w:rPr>
        <w:rStyle w:val="PageNumber"/>
        <w:rFonts w:ascii="Times New Roman" w:hAnsi="Times New Roman" w:cs="Times New Roman"/>
      </w:rPr>
      <w:fldChar w:fldCharType="separate"/>
    </w:r>
    <w:r>
      <w:rPr>
        <w:rStyle w:val="PageNumber"/>
        <w:rFonts w:ascii="Times New Roman" w:hAnsi="Times New Roman" w:cs="Times New Roman"/>
        <w:noProof/>
      </w:rPr>
      <w:t>4</w:t>
    </w:r>
    <w:r w:rsidRPr="00B93FB8">
      <w:rPr>
        <w:rStyle w:val="PageNumber"/>
        <w:rFonts w:ascii="Times New Roman" w:hAnsi="Times New Roman" w:cs="Times New Roman"/>
      </w:rPr>
      <w:fldChar w:fldCharType="end"/>
    </w:r>
  </w:p>
  <w:p w14:paraId="7FA9F911" w14:textId="77777777" w:rsidR="004E4B84" w:rsidRDefault="00DA2D66" w:rsidP="00B93FB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DD58" w14:textId="77777777" w:rsidR="00B26FEB" w:rsidRDefault="00DA2D66"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p>
  <w:p w14:paraId="71925461" w14:textId="77777777" w:rsidR="00B26FEB" w:rsidRPr="00B26FEB" w:rsidRDefault="004D192A"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r w:rsidRPr="00B26FEB">
      <w:rPr>
        <w:rFonts w:ascii="Times New Roman" w:eastAsiaTheme="minorEastAsia" w:hAnsi="Times New Roman" w:cs="Times New Roman"/>
        <w:b/>
        <w:sz w:val="14"/>
        <w:szCs w:val="24"/>
        <w:lang w:eastAsia="fr-FR"/>
      </w:rPr>
      <w:t>SCP NICOLAŸ - de LANOUVELLE -</w:t>
    </w:r>
    <w:r>
      <w:rPr>
        <w:rFonts w:ascii="Times New Roman" w:eastAsiaTheme="minorEastAsia" w:hAnsi="Times New Roman" w:cs="Times New Roman"/>
        <w:b/>
        <w:sz w:val="14"/>
        <w:szCs w:val="24"/>
        <w:lang w:eastAsia="fr-FR"/>
      </w:rPr>
      <w:t xml:space="preserve"> </w:t>
    </w:r>
    <w:r w:rsidRPr="00B26FEB">
      <w:rPr>
        <w:rFonts w:ascii="Times New Roman" w:eastAsiaTheme="minorEastAsia" w:hAnsi="Times New Roman" w:cs="Times New Roman"/>
        <w:b/>
        <w:sz w:val="14"/>
        <w:szCs w:val="24"/>
        <w:lang w:eastAsia="fr-FR"/>
      </w:rPr>
      <w:t>HANNOTIN</w:t>
    </w:r>
  </w:p>
  <w:p w14:paraId="15BBFE28" w14:textId="77777777" w:rsidR="00B26FEB" w:rsidRPr="00B26FEB" w:rsidRDefault="004D192A"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r w:rsidRPr="00B26FEB">
      <w:rPr>
        <w:rFonts w:ascii="Times New Roman" w:eastAsiaTheme="minorEastAsia" w:hAnsi="Times New Roman" w:cs="Times New Roman"/>
        <w:i/>
        <w:sz w:val="14"/>
        <w:szCs w:val="24"/>
        <w:lang w:eastAsia="fr-FR"/>
      </w:rPr>
      <w:t>Avocat au Conseil d'</w:t>
    </w:r>
    <w:proofErr w:type="spellStart"/>
    <w:r w:rsidRPr="00B26FEB">
      <w:rPr>
        <w:rFonts w:ascii="Times New Roman" w:eastAsiaTheme="minorEastAsia" w:hAnsi="Times New Roman" w:cs="Times New Roman"/>
        <w:i/>
        <w:sz w:val="14"/>
        <w:szCs w:val="24"/>
        <w:lang w:eastAsia="fr-FR"/>
      </w:rPr>
      <w:t>Etat</w:t>
    </w:r>
    <w:proofErr w:type="spellEnd"/>
    <w:r w:rsidRPr="00B26FEB">
      <w:rPr>
        <w:rFonts w:ascii="Times New Roman" w:eastAsiaTheme="minorEastAsia" w:hAnsi="Times New Roman" w:cs="Times New Roman"/>
        <w:i/>
        <w:sz w:val="14"/>
        <w:szCs w:val="24"/>
        <w:lang w:eastAsia="fr-FR"/>
      </w:rPr>
      <w:t xml:space="preserve"> </w:t>
    </w:r>
  </w:p>
  <w:p w14:paraId="6812142E" w14:textId="77777777" w:rsidR="00B26FEB" w:rsidRPr="00B26FEB" w:rsidRDefault="004D192A"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proofErr w:type="gramStart"/>
    <w:r w:rsidRPr="00B26FEB">
      <w:rPr>
        <w:rFonts w:ascii="Times New Roman" w:eastAsiaTheme="minorEastAsia" w:hAnsi="Times New Roman" w:cs="Times New Roman"/>
        <w:i/>
        <w:sz w:val="14"/>
        <w:szCs w:val="24"/>
        <w:lang w:eastAsia="fr-FR"/>
      </w:rPr>
      <w:t>et</w:t>
    </w:r>
    <w:proofErr w:type="gramEnd"/>
    <w:r w:rsidRPr="00B26FEB">
      <w:rPr>
        <w:rFonts w:ascii="Times New Roman" w:eastAsiaTheme="minorEastAsia" w:hAnsi="Times New Roman" w:cs="Times New Roman"/>
        <w:i/>
        <w:sz w:val="14"/>
        <w:szCs w:val="24"/>
        <w:lang w:eastAsia="fr-FR"/>
      </w:rPr>
      <w:t xml:space="preserve"> à la Cour de cassation</w:t>
    </w:r>
  </w:p>
  <w:p w14:paraId="189D05C6" w14:textId="77777777" w:rsidR="00B26FEB" w:rsidRPr="00B26FEB" w:rsidRDefault="004D192A"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r w:rsidRPr="00B26FEB">
      <w:rPr>
        <w:rFonts w:ascii="Times New Roman" w:eastAsiaTheme="minorEastAsia" w:hAnsi="Times New Roman" w:cs="Times New Roman"/>
        <w:sz w:val="14"/>
        <w:szCs w:val="24"/>
        <w:lang w:eastAsia="fr-FR"/>
      </w:rPr>
      <w:t>11, rue de Phalsbourg 75017 PARIS</w:t>
    </w:r>
  </w:p>
  <w:p w14:paraId="5AF34755" w14:textId="77777777" w:rsidR="00B26FEB" w:rsidRPr="00B26FEB" w:rsidRDefault="00DA2D66"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p>
  <w:p w14:paraId="42046FE1" w14:textId="77777777" w:rsidR="00B26FEB" w:rsidRDefault="00DA2D66" w:rsidP="00292C4A">
    <w:pPr>
      <w:pStyle w:val="Header"/>
      <w:tabs>
        <w:tab w:val="left" w:pos="1843"/>
      </w:tabs>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7034"/>
    <w:multiLevelType w:val="hybridMultilevel"/>
    <w:tmpl w:val="897E09DC"/>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7205C"/>
    <w:rsid w:val="00131150"/>
    <w:rsid w:val="00392E1C"/>
    <w:rsid w:val="004D192A"/>
    <w:rsid w:val="00B93990"/>
    <w:rsid w:val="00DA2D66"/>
    <w:rsid w:val="00E72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44E"/>
  <w15:chartTrackingRefBased/>
  <w15:docId w15:val="{ACA1786A-1D50-4464-BB40-39FF3999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0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205C"/>
  </w:style>
  <w:style w:type="character" w:styleId="PageNumber">
    <w:name w:val="page number"/>
    <w:basedOn w:val="DefaultParagraphFont"/>
    <w:uiPriority w:val="99"/>
    <w:semiHidden/>
    <w:unhideWhenUsed/>
    <w:rsid w:val="00E7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1025</Words>
  <Characters>5849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BONNEFONT</dc:creator>
  <cp:keywords/>
  <dc:description/>
  <cp:lastModifiedBy>Hugo Ruggieri</cp:lastModifiedBy>
  <cp:revision>2</cp:revision>
  <dcterms:created xsi:type="dcterms:W3CDTF">2021-03-15T19:38:00Z</dcterms:created>
  <dcterms:modified xsi:type="dcterms:W3CDTF">2021-03-18T20:24:00Z</dcterms:modified>
</cp:coreProperties>
</file>