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10A1" w14:textId="77777777" w:rsidR="00C45E14" w:rsidRPr="004549D4" w:rsidRDefault="00C45E14" w:rsidP="00C45E14">
      <w:pPr>
        <w:keepLines/>
        <w:spacing w:before="120" w:after="120" w:line="240" w:lineRule="auto"/>
        <w:ind w:left="567" w:right="277" w:firstLine="709"/>
        <w:jc w:val="center"/>
        <w:rPr>
          <w:rFonts w:ascii="Times New Roman" w:eastAsiaTheme="minorEastAsia" w:hAnsi="Times New Roman" w:cs="Times New Roman"/>
          <w:b/>
          <w:i/>
          <w:sz w:val="26"/>
          <w:szCs w:val="24"/>
          <w:lang w:eastAsia="fr-FR"/>
        </w:rPr>
      </w:pPr>
    </w:p>
    <w:p w14:paraId="46F4BDD0" w14:textId="77777777" w:rsidR="00C45E14" w:rsidRPr="004549D4" w:rsidRDefault="00C45E14" w:rsidP="00C45E1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3622BFC9" w14:textId="77777777" w:rsidR="00C45E14" w:rsidRPr="004549D4" w:rsidRDefault="00C45E14" w:rsidP="00C45E14">
      <w:pPr>
        <w:keepLines/>
        <w:spacing w:before="120" w:after="120" w:line="240" w:lineRule="auto"/>
        <w:ind w:left="567" w:right="277"/>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CONSEIL D’ÉTAT</w:t>
      </w:r>
    </w:p>
    <w:p w14:paraId="6E245915" w14:textId="77777777" w:rsidR="00C45E14" w:rsidRPr="004549D4" w:rsidRDefault="00C45E14" w:rsidP="00C45E1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037A7D62" w14:textId="77777777" w:rsidR="00C45E14" w:rsidRPr="004549D4" w:rsidRDefault="00C45E14" w:rsidP="00C45E14">
      <w:pPr>
        <w:keepLines/>
        <w:spacing w:before="120" w:after="120" w:line="240" w:lineRule="auto"/>
        <w:ind w:left="567" w:right="277"/>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SECTION DU CONTENTIEUX</w:t>
      </w:r>
    </w:p>
    <w:p w14:paraId="0D28CABB" w14:textId="77777777" w:rsidR="00C45E14" w:rsidRPr="004549D4" w:rsidRDefault="00C45E14" w:rsidP="00C45E14">
      <w:pPr>
        <w:keepLines/>
        <w:spacing w:before="120" w:after="120" w:line="240" w:lineRule="auto"/>
        <w:ind w:left="567" w:right="277" w:firstLine="709"/>
        <w:jc w:val="center"/>
        <w:rPr>
          <w:rFonts w:ascii="Times New Roman" w:eastAsiaTheme="minorEastAsia" w:hAnsi="Times New Roman" w:cs="Times New Roman"/>
          <w:b/>
          <w:sz w:val="26"/>
          <w:szCs w:val="24"/>
          <w:u w:val="single"/>
          <w:lang w:eastAsia="fr-FR"/>
        </w:rPr>
      </w:pPr>
    </w:p>
    <w:p w14:paraId="70F62F43" w14:textId="77777777" w:rsidR="00C45E14" w:rsidRPr="004549D4" w:rsidRDefault="00C45E14" w:rsidP="00C45E14">
      <w:pPr>
        <w:keepLines/>
        <w:tabs>
          <w:tab w:val="left" w:pos="2835"/>
        </w:tabs>
        <w:spacing w:before="120" w:after="120" w:line="240" w:lineRule="auto"/>
        <w:ind w:left="567" w:right="277"/>
        <w:jc w:val="center"/>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t>POURVOI EN CASSATION</w:t>
      </w:r>
    </w:p>
    <w:p w14:paraId="2F801A8C" w14:textId="77777777" w:rsidR="00C45E14" w:rsidRPr="004549D4" w:rsidRDefault="00C45E14" w:rsidP="00C45E14">
      <w:pPr>
        <w:keepLines/>
        <w:spacing w:before="120" w:after="120" w:line="240" w:lineRule="auto"/>
        <w:ind w:firstLine="709"/>
        <w:rPr>
          <w:rFonts w:ascii="Times New Roman" w:eastAsiaTheme="minorEastAsia" w:hAnsi="Times New Roman" w:cs="Times New Roman"/>
          <w:sz w:val="26"/>
          <w:szCs w:val="24"/>
          <w:lang w:eastAsia="fr-FR"/>
        </w:rPr>
      </w:pPr>
    </w:p>
    <w:p w14:paraId="6087346A" w14:textId="77777777" w:rsidR="00C45E14" w:rsidRPr="004549D4" w:rsidRDefault="00C45E14" w:rsidP="00C45E14">
      <w:pPr>
        <w:keepLines/>
        <w:spacing w:before="120" w:after="120" w:line="240" w:lineRule="auto"/>
        <w:ind w:firstLine="709"/>
        <w:rPr>
          <w:rFonts w:ascii="Times New Roman" w:eastAsiaTheme="minorEastAsia" w:hAnsi="Times New Roman" w:cs="Times New Roman"/>
          <w:sz w:val="26"/>
          <w:szCs w:val="24"/>
          <w:lang w:eastAsia="fr-FR"/>
        </w:rPr>
      </w:pPr>
    </w:p>
    <w:p w14:paraId="3DF2B241" w14:textId="77777777" w:rsidR="00C45E14" w:rsidRPr="004549D4" w:rsidRDefault="00C45E14" w:rsidP="00C45E14">
      <w:pPr>
        <w:keepLines/>
        <w:spacing w:before="120" w:after="120" w:line="240" w:lineRule="auto"/>
        <w:ind w:firstLine="709"/>
        <w:rPr>
          <w:rFonts w:ascii="Times New Roman" w:eastAsiaTheme="minorEastAsia" w:hAnsi="Times New Roman" w:cs="Times New Roman"/>
          <w:sz w:val="26"/>
          <w:szCs w:val="24"/>
          <w:lang w:eastAsia="fr-FR"/>
        </w:rPr>
      </w:pPr>
    </w:p>
    <w:p w14:paraId="22AD4919" w14:textId="77777777" w:rsidR="00C45E14" w:rsidRPr="004549D4" w:rsidRDefault="00C45E14" w:rsidP="00C45E14">
      <w:pPr>
        <w:keepLines/>
        <w:spacing w:before="120" w:after="120" w:line="240" w:lineRule="auto"/>
        <w:ind w:firstLine="709"/>
        <w:rPr>
          <w:rFonts w:ascii="Times New Roman" w:eastAsiaTheme="minorEastAsia" w:hAnsi="Times New Roman" w:cs="Times New Roman"/>
          <w:sz w:val="26"/>
          <w:szCs w:val="24"/>
          <w:lang w:eastAsia="fr-FR"/>
        </w:rPr>
      </w:pPr>
    </w:p>
    <w:p w14:paraId="6CDA039E" w14:textId="4C07E770" w:rsidR="00C45E14" w:rsidRPr="004549D4" w:rsidRDefault="00C45E14" w:rsidP="00C45E14">
      <w:pPr>
        <w:keepLines/>
        <w:tabs>
          <w:tab w:val="left" w:pos="2127"/>
        </w:tabs>
        <w:spacing w:before="120" w:after="120" w:line="240" w:lineRule="auto"/>
        <w:ind w:left="2124" w:right="567" w:hanging="1415"/>
        <w:jc w:val="both"/>
        <w:outlineLvl w:val="0"/>
        <w:rPr>
          <w:rFonts w:ascii="Times New Roman" w:eastAsiaTheme="minorEastAsia" w:hAnsi="Times New Roman" w:cs="Times New Roman"/>
          <w:color w:val="000000"/>
          <w:sz w:val="26"/>
          <w:szCs w:val="24"/>
          <w:lang w:eastAsia="fr-FR"/>
        </w:rPr>
      </w:pPr>
      <w:r w:rsidRPr="004549D4">
        <w:rPr>
          <w:rFonts w:ascii="Times New Roman" w:eastAsiaTheme="minorEastAsia" w:hAnsi="Times New Roman" w:cs="Times New Roman"/>
          <w:b/>
          <w:color w:val="000000"/>
          <w:sz w:val="26"/>
          <w:szCs w:val="24"/>
          <w:u w:val="single"/>
          <w:lang w:eastAsia="fr-FR"/>
        </w:rPr>
        <w:t>POUR</w:t>
      </w:r>
      <w:r w:rsidRPr="004549D4">
        <w:rPr>
          <w:rFonts w:ascii="Times New Roman" w:eastAsiaTheme="minorEastAsia" w:hAnsi="Times New Roman" w:cs="Times New Roman"/>
          <w:b/>
          <w:color w:val="000000"/>
          <w:sz w:val="26"/>
          <w:szCs w:val="24"/>
          <w:lang w:eastAsia="fr-FR"/>
        </w:rPr>
        <w:t> :</w:t>
      </w:r>
      <w:r w:rsidRPr="004549D4">
        <w:rPr>
          <w:rFonts w:ascii="Times New Roman" w:eastAsiaTheme="minorEastAsia" w:hAnsi="Times New Roman" w:cs="Times New Roman"/>
          <w:b/>
          <w:color w:val="000000"/>
          <w:sz w:val="26"/>
          <w:szCs w:val="24"/>
          <w:lang w:eastAsia="fr-FR"/>
        </w:rPr>
        <w:tab/>
      </w:r>
      <w:r>
        <w:rPr>
          <w:rFonts w:ascii="Times New Roman" w:eastAsiaTheme="minorEastAsia" w:hAnsi="Times New Roman" w:cs="Times New Roman"/>
          <w:b/>
          <w:sz w:val="26"/>
          <w:szCs w:val="26"/>
          <w:lang w:eastAsia="fr-FR"/>
        </w:rPr>
        <w:t>L’association « Ouvre-boîte »</w:t>
      </w:r>
    </w:p>
    <w:p w14:paraId="02C9C5CE" w14:textId="77777777" w:rsidR="00C45E14" w:rsidRPr="004549D4" w:rsidRDefault="00C45E14" w:rsidP="00C45E1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11B617A0" w14:textId="77777777" w:rsidR="00C45E14" w:rsidRPr="004549D4" w:rsidRDefault="00C45E14" w:rsidP="00C45E1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11B519EA" w14:textId="49DA2B67" w:rsidR="00C45E14" w:rsidRDefault="00C45E14" w:rsidP="00C45E1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51BFEB7A" w14:textId="77777777" w:rsidR="00C45E14" w:rsidRDefault="00C45E14" w:rsidP="00C45E1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1562878D" w14:textId="77777777" w:rsidR="00C45E14" w:rsidRPr="004549D4" w:rsidRDefault="00C45E14" w:rsidP="00C45E14">
      <w:pPr>
        <w:keepLines/>
        <w:spacing w:before="120" w:after="120" w:line="240" w:lineRule="auto"/>
        <w:ind w:right="567" w:firstLine="709"/>
        <w:rPr>
          <w:rFonts w:ascii="Times New Roman" w:eastAsiaTheme="minorEastAsia" w:hAnsi="Times New Roman" w:cs="Times New Roman"/>
          <w:color w:val="000000"/>
          <w:sz w:val="26"/>
          <w:szCs w:val="24"/>
          <w:lang w:eastAsia="fr-FR"/>
        </w:rPr>
      </w:pPr>
    </w:p>
    <w:p w14:paraId="2364FE1D" w14:textId="77777777"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color w:val="000000"/>
          <w:sz w:val="26"/>
          <w:szCs w:val="24"/>
          <w:lang w:eastAsia="fr-FR"/>
        </w:rPr>
      </w:pPr>
      <w:r w:rsidRPr="004549D4">
        <w:rPr>
          <w:rFonts w:ascii="Times New Roman" w:eastAsiaTheme="minorEastAsia" w:hAnsi="Times New Roman" w:cs="Times New Roman"/>
          <w:color w:val="000000"/>
          <w:sz w:val="26"/>
          <w:szCs w:val="24"/>
          <w:u w:val="single"/>
          <w:lang w:eastAsia="fr-FR"/>
        </w:rPr>
        <w:t>CONTRE</w:t>
      </w:r>
      <w:r w:rsidRPr="004549D4">
        <w:rPr>
          <w:rFonts w:ascii="Times New Roman" w:eastAsiaTheme="minorEastAsia" w:hAnsi="Times New Roman" w:cs="Times New Roman"/>
          <w:color w:val="000000"/>
          <w:sz w:val="26"/>
          <w:szCs w:val="24"/>
          <w:lang w:eastAsia="fr-FR"/>
        </w:rPr>
        <w:t> :</w:t>
      </w:r>
      <w:r w:rsidRPr="004549D4">
        <w:rPr>
          <w:rFonts w:ascii="Times New Roman" w:eastAsiaTheme="minorEastAsia" w:hAnsi="Times New Roman" w:cs="Times New Roman"/>
          <w:color w:val="000000"/>
          <w:sz w:val="26"/>
          <w:szCs w:val="24"/>
          <w:lang w:eastAsia="fr-FR"/>
        </w:rPr>
        <w:tab/>
      </w:r>
      <w:r>
        <w:rPr>
          <w:rFonts w:ascii="Times New Roman" w:eastAsiaTheme="minorEastAsia" w:hAnsi="Times New Roman" w:cs="Times New Roman"/>
          <w:color w:val="000000"/>
          <w:sz w:val="26"/>
          <w:szCs w:val="24"/>
          <w:lang w:eastAsia="fr-FR"/>
        </w:rPr>
        <w:t>Le Conseil National des Barreaux</w:t>
      </w:r>
    </w:p>
    <w:p w14:paraId="581F3D7D" w14:textId="77777777"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69996AC8" w14:textId="77777777"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1ABAF957" w14:textId="7FF6E70A"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3E0A5B07" w14:textId="2E52E0B4"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3C8325F8" w14:textId="0E546700"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57001E8D" w14:textId="3AA0DFDD"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48B8F68E" w14:textId="7AD7742F"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36911DAB" w14:textId="77777777"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17197343" w14:textId="77777777" w:rsidR="00C45E1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p>
    <w:p w14:paraId="442B2434" w14:textId="77777777" w:rsidR="00C45E14" w:rsidRPr="00C45E14" w:rsidRDefault="00C45E14" w:rsidP="00C45E14">
      <w:pPr>
        <w:keepLines/>
        <w:tabs>
          <w:tab w:val="left" w:pos="7080"/>
        </w:tabs>
        <w:spacing w:before="120" w:after="120" w:line="259" w:lineRule="auto"/>
        <w:ind w:right="567"/>
        <w:jc w:val="center"/>
        <w:rPr>
          <w:rFonts w:ascii="Times New Roman" w:hAnsi="Times New Roman"/>
          <w:color w:val="000000"/>
          <w:sz w:val="26"/>
          <w:szCs w:val="26"/>
        </w:rPr>
      </w:pPr>
      <w:r w:rsidRPr="00C45E14">
        <w:rPr>
          <w:rFonts w:ascii="Times New Roman" w:hAnsi="Times New Roman"/>
          <w:color w:val="000000"/>
          <w:sz w:val="26"/>
          <w:szCs w:val="26"/>
        </w:rPr>
        <w:t xml:space="preserve">        --------------------------</w:t>
      </w:r>
    </w:p>
    <w:p w14:paraId="4618C924" w14:textId="310CD926" w:rsidR="00C45E14" w:rsidRPr="00C45E14" w:rsidRDefault="00C45E14" w:rsidP="00C45E14">
      <w:pPr>
        <w:keepLines/>
        <w:tabs>
          <w:tab w:val="left" w:pos="7080"/>
        </w:tabs>
        <w:spacing w:after="160" w:line="259" w:lineRule="auto"/>
        <w:ind w:right="567"/>
        <w:jc w:val="center"/>
        <w:rPr>
          <w:rFonts w:ascii="Times New Roman" w:hAnsi="Times New Roman"/>
          <w:color w:val="000000"/>
          <w:sz w:val="26"/>
          <w:szCs w:val="26"/>
        </w:rPr>
      </w:pPr>
      <w:r w:rsidRPr="00C45E14">
        <w:rPr>
          <w:rFonts w:ascii="Times New Roman" w:hAnsi="Times New Roman"/>
          <w:color w:val="000000"/>
          <w:sz w:val="26"/>
          <w:szCs w:val="26"/>
        </w:rPr>
        <w:t xml:space="preserve">Observations à l’appui </w:t>
      </w:r>
      <w:r>
        <w:rPr>
          <w:rFonts w:ascii="Times New Roman" w:hAnsi="Times New Roman"/>
          <w:color w:val="000000"/>
          <w:sz w:val="26"/>
          <w:szCs w:val="26"/>
        </w:rPr>
        <w:t>du pourvoi</w:t>
      </w:r>
      <w:r w:rsidRPr="00C45E14">
        <w:rPr>
          <w:rFonts w:ascii="Times New Roman" w:hAnsi="Times New Roman"/>
          <w:color w:val="000000"/>
          <w:sz w:val="26"/>
          <w:szCs w:val="26"/>
        </w:rPr>
        <w:t xml:space="preserve"> dirigé contre </w:t>
      </w:r>
      <w:r>
        <w:rPr>
          <w:rFonts w:ascii="Times New Roman" w:hAnsi="Times New Roman"/>
          <w:color w:val="000000"/>
          <w:sz w:val="26"/>
          <w:szCs w:val="26"/>
        </w:rPr>
        <w:t>le jugement n° 1717018 du tribunal administratif de Paris du 15 janvier 2021</w:t>
      </w:r>
    </w:p>
    <w:p w14:paraId="3FE93349" w14:textId="77777777" w:rsidR="00C45E14" w:rsidRPr="00C45E14" w:rsidRDefault="00C45E14" w:rsidP="00C45E14">
      <w:pPr>
        <w:keepLines/>
        <w:tabs>
          <w:tab w:val="left" w:pos="0"/>
          <w:tab w:val="center" w:pos="4536"/>
          <w:tab w:val="left" w:pos="7080"/>
          <w:tab w:val="right" w:pos="9072"/>
        </w:tabs>
        <w:spacing w:before="120" w:after="120" w:line="240" w:lineRule="auto"/>
        <w:jc w:val="center"/>
        <w:rPr>
          <w:rFonts w:ascii="Times New Roman" w:hAnsi="Times New Roman"/>
          <w:sz w:val="26"/>
          <w:szCs w:val="26"/>
        </w:rPr>
      </w:pPr>
      <w:r w:rsidRPr="00C45E14">
        <w:rPr>
          <w:rFonts w:ascii="Times New Roman" w:hAnsi="Times New Roman"/>
          <w:color w:val="000000"/>
          <w:sz w:val="26"/>
          <w:szCs w:val="26"/>
        </w:rPr>
        <w:t>--------------------------</w:t>
      </w:r>
    </w:p>
    <w:p w14:paraId="6BAFE6BE" w14:textId="11FC4CC2" w:rsidR="00C45E14" w:rsidRPr="004549D4" w:rsidRDefault="00C45E14" w:rsidP="00C45E14">
      <w:pPr>
        <w:keepLines/>
        <w:tabs>
          <w:tab w:val="left" w:pos="2127"/>
          <w:tab w:val="left" w:pos="3119"/>
        </w:tabs>
        <w:spacing w:before="120" w:after="120" w:line="240" w:lineRule="auto"/>
        <w:ind w:left="2127" w:right="567" w:hanging="1418"/>
        <w:jc w:val="both"/>
        <w:outlineLvl w:val="0"/>
        <w:rPr>
          <w:rFonts w:ascii="Times New Roman" w:eastAsiaTheme="minorEastAsia" w:hAnsi="Times New Roman" w:cs="Times New Roman"/>
          <w:b/>
          <w:sz w:val="26"/>
          <w:szCs w:val="24"/>
          <w:u w:val="single"/>
          <w:lang w:eastAsia="fr-FR"/>
        </w:rPr>
      </w:pPr>
      <w:r w:rsidRPr="004549D4">
        <w:rPr>
          <w:rFonts w:ascii="Times New Roman" w:eastAsiaTheme="minorEastAsia" w:hAnsi="Times New Roman" w:cs="Times New Roman"/>
          <w:b/>
          <w:sz w:val="26"/>
          <w:szCs w:val="24"/>
          <w:u w:val="single"/>
          <w:lang w:eastAsia="fr-FR"/>
        </w:rPr>
        <w:br w:type="page"/>
      </w:r>
    </w:p>
    <w:p w14:paraId="605B4503" w14:textId="0D903A1F" w:rsidR="00C45E14" w:rsidRPr="00B6133A" w:rsidRDefault="00B6133A" w:rsidP="00C45E14">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Pr>
          <w:rFonts w:ascii="Times New Roman" w:eastAsiaTheme="minorEastAsia" w:hAnsi="Times New Roman" w:cs="Times New Roman"/>
          <w:b/>
          <w:bCs/>
          <w:sz w:val="26"/>
          <w:szCs w:val="26"/>
          <w:lang w:eastAsia="fr-FR"/>
        </w:rPr>
        <w:lastRenderedPageBreak/>
        <w:t xml:space="preserve"> - </w:t>
      </w:r>
      <w:r w:rsidR="00C45E14" w:rsidRPr="00C45E14">
        <w:rPr>
          <w:rFonts w:ascii="Times New Roman" w:eastAsiaTheme="minorEastAsia" w:hAnsi="Times New Roman" w:cs="Times New Roman"/>
          <w:b/>
          <w:bCs/>
          <w:sz w:val="26"/>
          <w:szCs w:val="26"/>
          <w:u w:val="single"/>
          <w:lang w:eastAsia="fr-FR"/>
        </w:rPr>
        <w:t>FAITS ET PROCEDURE</w:t>
      </w:r>
      <w:r>
        <w:rPr>
          <w:rFonts w:ascii="Times New Roman" w:eastAsiaTheme="minorEastAsia" w:hAnsi="Times New Roman" w:cs="Times New Roman"/>
          <w:b/>
          <w:bCs/>
          <w:sz w:val="26"/>
          <w:szCs w:val="26"/>
          <w:lang w:eastAsia="fr-FR"/>
        </w:rPr>
        <w:t xml:space="preserve"> -</w:t>
      </w:r>
    </w:p>
    <w:p w14:paraId="59DCEDE5" w14:textId="4BCE7E2C" w:rsidR="00C45E14" w:rsidRDefault="00C45E14" w:rsidP="00C45E14">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p>
    <w:p w14:paraId="4BCB3487" w14:textId="4DAAF104" w:rsidR="00C45E14" w:rsidRDefault="00C45E14" w:rsidP="00C45E14">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p>
    <w:p w14:paraId="62AB2F2E" w14:textId="77777777" w:rsidR="00C45E14" w:rsidRDefault="00C45E14"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C45E14">
        <w:rPr>
          <w:rFonts w:ascii="Times New Roman" w:eastAsiaTheme="minorEastAsia" w:hAnsi="Times New Roman" w:cs="Times New Roman"/>
          <w:b/>
          <w:sz w:val="26"/>
          <w:szCs w:val="26"/>
          <w:lang w:eastAsia="fr-FR"/>
        </w:rPr>
        <w:t>1.</w:t>
      </w:r>
      <w:r>
        <w:rPr>
          <w:rFonts w:ascii="Times New Roman" w:eastAsiaTheme="minorEastAsia" w:hAnsi="Times New Roman" w:cs="Times New Roman"/>
          <w:bCs/>
          <w:sz w:val="26"/>
          <w:szCs w:val="26"/>
          <w:lang w:eastAsia="fr-FR"/>
        </w:rPr>
        <w:t xml:space="preserve"> </w:t>
      </w:r>
      <w:r w:rsidRPr="00C45E14">
        <w:rPr>
          <w:rFonts w:ascii="Times New Roman" w:eastAsiaTheme="minorEastAsia" w:hAnsi="Times New Roman" w:cs="Times New Roman"/>
          <w:bCs/>
          <w:sz w:val="26"/>
          <w:szCs w:val="26"/>
          <w:lang w:eastAsia="fr-FR"/>
        </w:rPr>
        <w:t xml:space="preserve">L’association « Ouvre-boîte », exposante, a pour objet d’obtenir l’accès et la publication effective des documents administratifs et, plus particulièrement, des données, bases de données et codes sources, conformément aux textes en vigueur. </w:t>
      </w:r>
    </w:p>
    <w:p w14:paraId="4B23F9D1" w14:textId="2532752A" w:rsidR="00C45E14" w:rsidRDefault="00C45E14"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C45E14">
        <w:rPr>
          <w:rFonts w:ascii="Times New Roman" w:eastAsiaTheme="minorEastAsia" w:hAnsi="Times New Roman" w:cs="Times New Roman"/>
          <w:bCs/>
          <w:sz w:val="26"/>
          <w:szCs w:val="26"/>
          <w:lang w:eastAsia="fr-FR"/>
        </w:rPr>
        <w:t>L’association œuvre dans cette optique depuis plusieurs années, afin de permettre aux citoyens</w:t>
      </w:r>
      <w:r w:rsidR="00B736CC">
        <w:rPr>
          <w:rFonts w:ascii="Times New Roman" w:eastAsiaTheme="minorEastAsia" w:hAnsi="Times New Roman" w:cs="Times New Roman"/>
          <w:bCs/>
          <w:sz w:val="26"/>
          <w:szCs w:val="26"/>
          <w:lang w:eastAsia="fr-FR"/>
        </w:rPr>
        <w:t xml:space="preserve">, justiciables et </w:t>
      </w:r>
      <w:r w:rsidRPr="00C45E14">
        <w:rPr>
          <w:rFonts w:ascii="Times New Roman" w:eastAsiaTheme="minorEastAsia" w:hAnsi="Times New Roman" w:cs="Times New Roman"/>
          <w:bCs/>
          <w:sz w:val="26"/>
          <w:szCs w:val="26"/>
          <w:lang w:eastAsia="fr-FR"/>
        </w:rPr>
        <w:t>contribuables français d’obtenir l’accès à des données et documents auxquels ils sont autorisés à accéder, voire, dans certains cas, qui devraient être communiqués d’office par l’administration</w:t>
      </w:r>
      <w:r>
        <w:rPr>
          <w:rFonts w:ascii="Times New Roman" w:eastAsiaTheme="minorEastAsia" w:hAnsi="Times New Roman" w:cs="Times New Roman"/>
          <w:bCs/>
          <w:sz w:val="26"/>
          <w:szCs w:val="26"/>
          <w:lang w:eastAsia="fr-FR"/>
        </w:rPr>
        <w:t xml:space="preserve"> ou les organismes chargés d’une mission de service public</w:t>
      </w:r>
      <w:r w:rsidRPr="00C45E14">
        <w:rPr>
          <w:rFonts w:ascii="Times New Roman" w:eastAsiaTheme="minorEastAsia" w:hAnsi="Times New Roman" w:cs="Times New Roman"/>
          <w:bCs/>
          <w:sz w:val="26"/>
          <w:szCs w:val="26"/>
          <w:lang w:eastAsia="fr-FR"/>
        </w:rPr>
        <w:t xml:space="preserve">, mais qui ne l’ont pas été. </w:t>
      </w:r>
    </w:p>
    <w:p w14:paraId="31ECF55B" w14:textId="50AC9A60" w:rsidR="00C45E14" w:rsidRDefault="00B736CC"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L’association </w:t>
      </w:r>
      <w:r w:rsidR="00C45E14" w:rsidRPr="00C45E14">
        <w:rPr>
          <w:rFonts w:ascii="Times New Roman" w:eastAsiaTheme="minorEastAsia" w:hAnsi="Times New Roman" w:cs="Times New Roman"/>
          <w:bCs/>
          <w:sz w:val="26"/>
          <w:szCs w:val="26"/>
          <w:lang w:eastAsia="fr-FR"/>
        </w:rPr>
        <w:t xml:space="preserve">« Ouvre-boîte » s’inscrit ainsi dans le mouvement continu de la transparence administrative et de sa concrétisation moderne avec les données ouvertes, ou « open data ». Pour ce faire, </w:t>
      </w:r>
      <w:r>
        <w:rPr>
          <w:rFonts w:ascii="Times New Roman" w:eastAsiaTheme="minorEastAsia" w:hAnsi="Times New Roman" w:cs="Times New Roman"/>
          <w:bCs/>
          <w:sz w:val="26"/>
          <w:szCs w:val="26"/>
          <w:lang w:eastAsia="fr-FR"/>
        </w:rPr>
        <w:t>elle</w:t>
      </w:r>
      <w:r w:rsidR="00C45E14" w:rsidRPr="00C45E14">
        <w:rPr>
          <w:rFonts w:ascii="Times New Roman" w:eastAsiaTheme="minorEastAsia" w:hAnsi="Times New Roman" w:cs="Times New Roman"/>
          <w:bCs/>
          <w:sz w:val="26"/>
          <w:szCs w:val="26"/>
          <w:lang w:eastAsia="fr-FR"/>
        </w:rPr>
        <w:t xml:space="preserve"> vulgarise les moyens à disposition de tous : demande gracieuse, recours gracieux, saisine de la Commission d’accès aux documents administratifs</w:t>
      </w:r>
      <w:r>
        <w:rPr>
          <w:rFonts w:ascii="Times New Roman" w:eastAsiaTheme="minorEastAsia" w:hAnsi="Times New Roman" w:cs="Times New Roman"/>
          <w:bCs/>
          <w:sz w:val="26"/>
          <w:szCs w:val="26"/>
          <w:lang w:eastAsia="fr-FR"/>
        </w:rPr>
        <w:t xml:space="preserve"> (CADA)</w:t>
      </w:r>
      <w:r w:rsidR="00C45E14" w:rsidRPr="00C45E14">
        <w:rPr>
          <w:rFonts w:ascii="Times New Roman" w:eastAsiaTheme="minorEastAsia" w:hAnsi="Times New Roman" w:cs="Times New Roman"/>
          <w:bCs/>
          <w:sz w:val="26"/>
          <w:szCs w:val="26"/>
          <w:lang w:eastAsia="fr-FR"/>
        </w:rPr>
        <w:t xml:space="preserve">, saisine de l'Administrateur général des données, recours contentieux, etc. </w:t>
      </w:r>
      <w:r>
        <w:rPr>
          <w:rFonts w:ascii="Times New Roman" w:eastAsiaTheme="minorEastAsia" w:hAnsi="Times New Roman" w:cs="Times New Roman"/>
          <w:bCs/>
          <w:sz w:val="26"/>
          <w:szCs w:val="26"/>
          <w:lang w:eastAsia="fr-FR"/>
        </w:rPr>
        <w:t xml:space="preserve">L’association </w:t>
      </w:r>
      <w:r w:rsidR="00C45E14" w:rsidRPr="00C45E14">
        <w:rPr>
          <w:rFonts w:ascii="Times New Roman" w:eastAsiaTheme="minorEastAsia" w:hAnsi="Times New Roman" w:cs="Times New Roman"/>
          <w:bCs/>
          <w:sz w:val="26"/>
          <w:szCs w:val="26"/>
          <w:lang w:eastAsia="fr-FR"/>
        </w:rPr>
        <w:t xml:space="preserve">« Ouvre-boîte » est également une communauté d'entraide et de partage d'expertise sur la libération des documents administratifs. Qu'ils soient citoyens, associations, entreprises ou administrations, </w:t>
      </w:r>
      <w:r>
        <w:rPr>
          <w:rFonts w:ascii="Times New Roman" w:eastAsiaTheme="minorEastAsia" w:hAnsi="Times New Roman" w:cs="Times New Roman"/>
          <w:bCs/>
          <w:sz w:val="26"/>
          <w:szCs w:val="26"/>
          <w:lang w:eastAsia="fr-FR"/>
        </w:rPr>
        <w:t>l’association</w:t>
      </w:r>
      <w:r w:rsidR="00C45E14" w:rsidRPr="00C45E14">
        <w:rPr>
          <w:rFonts w:ascii="Times New Roman" w:eastAsiaTheme="minorEastAsia" w:hAnsi="Times New Roman" w:cs="Times New Roman"/>
          <w:bCs/>
          <w:sz w:val="26"/>
          <w:szCs w:val="26"/>
          <w:lang w:eastAsia="fr-FR"/>
        </w:rPr>
        <w:t xml:space="preserve"> apporte une aide à tous ceux qui souhaitent disposer d'un accès à un document détenu par une administration</w:t>
      </w:r>
      <w:r>
        <w:rPr>
          <w:rFonts w:ascii="Times New Roman" w:eastAsiaTheme="minorEastAsia" w:hAnsi="Times New Roman" w:cs="Times New Roman"/>
          <w:bCs/>
          <w:sz w:val="26"/>
          <w:szCs w:val="26"/>
          <w:lang w:eastAsia="fr-FR"/>
        </w:rPr>
        <w:t xml:space="preserve"> ou un organisme chargé d’une mission de service public</w:t>
      </w:r>
      <w:r w:rsidR="00C45E14" w:rsidRPr="00C45E14">
        <w:rPr>
          <w:rFonts w:ascii="Times New Roman" w:eastAsiaTheme="minorEastAsia" w:hAnsi="Times New Roman" w:cs="Times New Roman"/>
          <w:bCs/>
          <w:sz w:val="26"/>
          <w:szCs w:val="26"/>
          <w:lang w:eastAsia="fr-FR"/>
        </w:rPr>
        <w:t xml:space="preserve">. Mais </w:t>
      </w:r>
      <w:r>
        <w:rPr>
          <w:rFonts w:ascii="Times New Roman" w:eastAsiaTheme="minorEastAsia" w:hAnsi="Times New Roman" w:cs="Times New Roman"/>
          <w:bCs/>
          <w:sz w:val="26"/>
          <w:szCs w:val="26"/>
          <w:lang w:eastAsia="fr-FR"/>
        </w:rPr>
        <w:t>elle</w:t>
      </w:r>
      <w:r w:rsidR="00C45E14" w:rsidRPr="00C45E14">
        <w:rPr>
          <w:rFonts w:ascii="Times New Roman" w:eastAsiaTheme="minorEastAsia" w:hAnsi="Times New Roman" w:cs="Times New Roman"/>
          <w:bCs/>
          <w:sz w:val="26"/>
          <w:szCs w:val="26"/>
          <w:lang w:eastAsia="fr-FR"/>
        </w:rPr>
        <w:t xml:space="preserve"> cherche aussi à trouver des solutions aux obstacles rencontrés par les administrations </w:t>
      </w:r>
      <w:r w:rsidR="00C45E14">
        <w:rPr>
          <w:rFonts w:ascii="Times New Roman" w:eastAsiaTheme="minorEastAsia" w:hAnsi="Times New Roman" w:cs="Times New Roman"/>
          <w:bCs/>
          <w:sz w:val="26"/>
          <w:szCs w:val="26"/>
          <w:lang w:eastAsia="fr-FR"/>
        </w:rPr>
        <w:t xml:space="preserve">ou les organismes chargés d’une mission de service public </w:t>
      </w:r>
      <w:r w:rsidR="00C45E14" w:rsidRPr="00C45E14">
        <w:rPr>
          <w:rFonts w:ascii="Times New Roman" w:eastAsiaTheme="minorEastAsia" w:hAnsi="Times New Roman" w:cs="Times New Roman"/>
          <w:bCs/>
          <w:sz w:val="26"/>
          <w:szCs w:val="26"/>
          <w:lang w:eastAsia="fr-FR"/>
        </w:rPr>
        <w:t xml:space="preserve">quand </w:t>
      </w:r>
      <w:r w:rsidR="00C45E14">
        <w:rPr>
          <w:rFonts w:ascii="Times New Roman" w:eastAsiaTheme="minorEastAsia" w:hAnsi="Times New Roman" w:cs="Times New Roman"/>
          <w:bCs/>
          <w:sz w:val="26"/>
          <w:szCs w:val="26"/>
          <w:lang w:eastAsia="fr-FR"/>
        </w:rPr>
        <w:t>il</w:t>
      </w:r>
      <w:r w:rsidR="00C45E14" w:rsidRPr="00C45E14">
        <w:rPr>
          <w:rFonts w:ascii="Times New Roman" w:eastAsiaTheme="minorEastAsia" w:hAnsi="Times New Roman" w:cs="Times New Roman"/>
          <w:bCs/>
          <w:sz w:val="26"/>
          <w:szCs w:val="26"/>
          <w:lang w:eastAsia="fr-FR"/>
        </w:rPr>
        <w:t xml:space="preserve">s souhaitent publier leurs documents. </w:t>
      </w:r>
      <w:r>
        <w:rPr>
          <w:rFonts w:ascii="Times New Roman" w:eastAsiaTheme="minorEastAsia" w:hAnsi="Times New Roman" w:cs="Times New Roman"/>
          <w:bCs/>
          <w:sz w:val="26"/>
          <w:szCs w:val="26"/>
          <w:lang w:eastAsia="fr-FR"/>
        </w:rPr>
        <w:t xml:space="preserve">L’association </w:t>
      </w:r>
      <w:r w:rsidR="00C45E14" w:rsidRPr="00C45E14">
        <w:rPr>
          <w:rFonts w:ascii="Times New Roman" w:eastAsiaTheme="minorEastAsia" w:hAnsi="Times New Roman" w:cs="Times New Roman"/>
          <w:bCs/>
          <w:sz w:val="26"/>
          <w:szCs w:val="26"/>
          <w:lang w:eastAsia="fr-FR"/>
        </w:rPr>
        <w:t>« Ouvre-boîte » précise le cadre juridique auquel sont astreints les fonctionnaires</w:t>
      </w:r>
      <w:r w:rsidR="00C45E14">
        <w:rPr>
          <w:rFonts w:ascii="Times New Roman" w:eastAsiaTheme="minorEastAsia" w:hAnsi="Times New Roman" w:cs="Times New Roman"/>
          <w:bCs/>
          <w:sz w:val="26"/>
          <w:szCs w:val="26"/>
          <w:lang w:eastAsia="fr-FR"/>
        </w:rPr>
        <w:t xml:space="preserve"> ou collaborateurs du service public</w:t>
      </w:r>
      <w:r w:rsidR="00C45E14" w:rsidRPr="00C45E14">
        <w:rPr>
          <w:rFonts w:ascii="Times New Roman" w:eastAsiaTheme="minorEastAsia" w:hAnsi="Times New Roman" w:cs="Times New Roman"/>
          <w:bCs/>
          <w:sz w:val="26"/>
          <w:szCs w:val="26"/>
          <w:lang w:eastAsia="fr-FR"/>
        </w:rPr>
        <w:t xml:space="preserve">, qui n'ont pas toujours une vision claire de ce qu'ils peuvent ou ne peuvent pas libérer. </w:t>
      </w:r>
      <w:r>
        <w:rPr>
          <w:rFonts w:ascii="Times New Roman" w:eastAsiaTheme="minorEastAsia" w:hAnsi="Times New Roman" w:cs="Times New Roman"/>
          <w:bCs/>
          <w:sz w:val="26"/>
          <w:szCs w:val="26"/>
          <w:lang w:eastAsia="fr-FR"/>
        </w:rPr>
        <w:t>Elle propose</w:t>
      </w:r>
      <w:r w:rsidR="00C45E14" w:rsidRPr="00C45E14">
        <w:rPr>
          <w:rFonts w:ascii="Times New Roman" w:eastAsiaTheme="minorEastAsia" w:hAnsi="Times New Roman" w:cs="Times New Roman"/>
          <w:bCs/>
          <w:sz w:val="26"/>
          <w:szCs w:val="26"/>
          <w:lang w:eastAsia="fr-FR"/>
        </w:rPr>
        <w:t xml:space="preserve"> une expertise technique pour la libération de données ou de codes sources, lorsqu'un audit ou une extraction complexe est nécessaire. Enfin, </w:t>
      </w:r>
      <w:r>
        <w:rPr>
          <w:rFonts w:ascii="Times New Roman" w:eastAsiaTheme="minorEastAsia" w:hAnsi="Times New Roman" w:cs="Times New Roman"/>
          <w:bCs/>
          <w:sz w:val="26"/>
          <w:szCs w:val="26"/>
          <w:lang w:eastAsia="fr-FR"/>
        </w:rPr>
        <w:t>l’association</w:t>
      </w:r>
      <w:r w:rsidR="00C45E14" w:rsidRPr="00C45E14">
        <w:rPr>
          <w:rFonts w:ascii="Times New Roman" w:eastAsiaTheme="minorEastAsia" w:hAnsi="Times New Roman" w:cs="Times New Roman"/>
          <w:bCs/>
          <w:sz w:val="26"/>
          <w:szCs w:val="26"/>
          <w:lang w:eastAsia="fr-FR"/>
        </w:rPr>
        <w:t xml:space="preserve"> cherche à valoriser l'action des administrations </w:t>
      </w:r>
      <w:r w:rsidR="007C211C">
        <w:rPr>
          <w:rFonts w:ascii="Times New Roman" w:eastAsiaTheme="minorEastAsia" w:hAnsi="Times New Roman" w:cs="Times New Roman"/>
          <w:bCs/>
          <w:sz w:val="26"/>
          <w:szCs w:val="26"/>
          <w:lang w:eastAsia="fr-FR"/>
        </w:rPr>
        <w:t xml:space="preserve">et organismes associés </w:t>
      </w:r>
      <w:r w:rsidR="00C45E14" w:rsidRPr="00C45E14">
        <w:rPr>
          <w:rFonts w:ascii="Times New Roman" w:eastAsiaTheme="minorEastAsia" w:hAnsi="Times New Roman" w:cs="Times New Roman"/>
          <w:bCs/>
          <w:sz w:val="26"/>
          <w:szCs w:val="26"/>
          <w:lang w:eastAsia="fr-FR"/>
        </w:rPr>
        <w:t>qui s'engagent dans l'ouverture de leurs documents et leur donne les moyens de communiquer au mieux sur leurs efforts de transparence</w:t>
      </w:r>
      <w:r w:rsidR="00C45E14">
        <w:rPr>
          <w:rFonts w:ascii="Times New Roman" w:eastAsiaTheme="minorEastAsia" w:hAnsi="Times New Roman" w:cs="Times New Roman"/>
          <w:bCs/>
          <w:sz w:val="26"/>
          <w:szCs w:val="26"/>
          <w:lang w:eastAsia="fr-FR"/>
        </w:rPr>
        <w:t>.</w:t>
      </w:r>
    </w:p>
    <w:p w14:paraId="08AB2A5F" w14:textId="29853BA8" w:rsidR="00B736CC" w:rsidRDefault="00B736CC"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74E57E5" w14:textId="73D8194B" w:rsidR="00B736CC" w:rsidRDefault="00B736CC"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B736CC">
        <w:rPr>
          <w:rFonts w:ascii="Times New Roman" w:eastAsiaTheme="minorEastAsia" w:hAnsi="Times New Roman" w:cs="Times New Roman"/>
          <w:b/>
          <w:sz w:val="26"/>
          <w:szCs w:val="26"/>
          <w:lang w:eastAsia="fr-FR"/>
        </w:rPr>
        <w:t>2.</w:t>
      </w:r>
      <w:r>
        <w:rPr>
          <w:rFonts w:ascii="Times New Roman" w:eastAsiaTheme="minorEastAsia" w:hAnsi="Times New Roman" w:cs="Times New Roman"/>
          <w:bCs/>
          <w:sz w:val="26"/>
          <w:szCs w:val="26"/>
          <w:lang w:eastAsia="fr-FR"/>
        </w:rPr>
        <w:t xml:space="preserve"> Dans ce cadre, l’association « Ouvre-boîte » a adressé au Conseil National des Barreaux (CNB), par un courrier électronique du 17 janvier 2019, une demande tendant à </w:t>
      </w:r>
      <w:r w:rsidRPr="002C152E">
        <w:rPr>
          <w:rFonts w:ascii="Times New Roman" w:eastAsiaTheme="minorEastAsia" w:hAnsi="Times New Roman" w:cs="Times New Roman"/>
          <w:bCs/>
          <w:sz w:val="26"/>
          <w:szCs w:val="26"/>
          <w:u w:val="single"/>
          <w:lang w:eastAsia="fr-FR"/>
        </w:rPr>
        <w:t>la communication, par voie de publication en ligne</w:t>
      </w:r>
      <w:r w:rsidR="002307F5" w:rsidRPr="002C152E">
        <w:rPr>
          <w:rFonts w:ascii="Times New Roman" w:eastAsiaTheme="minorEastAsia" w:hAnsi="Times New Roman" w:cs="Times New Roman"/>
          <w:bCs/>
          <w:sz w:val="26"/>
          <w:szCs w:val="26"/>
          <w:u w:val="single"/>
          <w:lang w:eastAsia="fr-FR"/>
        </w:rPr>
        <w:t xml:space="preserve">, de l’annuaire des personnes physiques </w:t>
      </w:r>
      <w:r w:rsidR="002C152E" w:rsidRPr="002C152E">
        <w:rPr>
          <w:rFonts w:ascii="Times New Roman" w:eastAsiaTheme="minorEastAsia" w:hAnsi="Times New Roman" w:cs="Times New Roman"/>
          <w:bCs/>
          <w:sz w:val="26"/>
          <w:szCs w:val="26"/>
          <w:u w:val="single"/>
          <w:lang w:eastAsia="fr-FR"/>
        </w:rPr>
        <w:t>et</w:t>
      </w:r>
      <w:r w:rsidR="002307F5" w:rsidRPr="002C152E">
        <w:rPr>
          <w:rFonts w:ascii="Times New Roman" w:eastAsiaTheme="minorEastAsia" w:hAnsi="Times New Roman" w:cs="Times New Roman"/>
          <w:bCs/>
          <w:sz w:val="26"/>
          <w:szCs w:val="26"/>
          <w:u w:val="single"/>
          <w:lang w:eastAsia="fr-FR"/>
        </w:rPr>
        <w:t xml:space="preserve"> morales exerçant la profession d’avocat en France</w:t>
      </w:r>
      <w:r w:rsidR="002307F5">
        <w:rPr>
          <w:rFonts w:ascii="Times New Roman" w:eastAsiaTheme="minorEastAsia" w:hAnsi="Times New Roman" w:cs="Times New Roman"/>
          <w:bCs/>
          <w:sz w:val="26"/>
          <w:szCs w:val="26"/>
          <w:lang w:eastAsia="fr-FR"/>
        </w:rPr>
        <w:t>.</w:t>
      </w:r>
    </w:p>
    <w:p w14:paraId="118DD943" w14:textId="640320C9" w:rsidR="002307F5" w:rsidRPr="002C152E" w:rsidRDefault="002307F5" w:rsidP="00A0611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2C152E">
        <w:rPr>
          <w:rFonts w:ascii="Times New Roman" w:eastAsiaTheme="minorEastAsia" w:hAnsi="Times New Roman" w:cs="Times New Roman"/>
          <w:bCs/>
          <w:sz w:val="26"/>
          <w:szCs w:val="26"/>
          <w:lang w:eastAsia="fr-FR"/>
        </w:rPr>
        <w:lastRenderedPageBreak/>
        <w:t xml:space="preserve">Plus précisément, </w:t>
      </w:r>
      <w:r w:rsidR="002C152E" w:rsidRPr="002C152E">
        <w:rPr>
          <w:rFonts w:ascii="Times New Roman" w:eastAsiaTheme="minorEastAsia" w:hAnsi="Times New Roman" w:cs="Times New Roman"/>
          <w:bCs/>
          <w:sz w:val="26"/>
          <w:szCs w:val="26"/>
          <w:lang w:eastAsia="fr-FR"/>
        </w:rPr>
        <w:t>la demande de l’association portait sur la communication </w:t>
      </w:r>
      <w:r w:rsidR="002C152E">
        <w:rPr>
          <w:rFonts w:ascii="Times New Roman" w:eastAsiaTheme="minorEastAsia" w:hAnsi="Times New Roman" w:cs="Times New Roman"/>
          <w:bCs/>
          <w:sz w:val="26"/>
          <w:szCs w:val="26"/>
          <w:lang w:eastAsia="fr-FR"/>
        </w:rPr>
        <w:t xml:space="preserve">de </w:t>
      </w:r>
      <w:r w:rsidR="002C152E" w:rsidRPr="002C152E">
        <w:rPr>
          <w:rFonts w:ascii="Times New Roman" w:eastAsiaTheme="minorEastAsia" w:hAnsi="Times New Roman" w:cs="Times New Roman"/>
          <w:bCs/>
          <w:sz w:val="26"/>
          <w:szCs w:val="26"/>
          <w:lang w:eastAsia="fr-FR"/>
        </w:rPr>
        <w:t>:</w:t>
      </w:r>
    </w:p>
    <w:p w14:paraId="2173325E" w14:textId="6531F086" w:rsidR="002C152E" w:rsidRDefault="002C152E" w:rsidP="00A0611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2C152E">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l’annuaire des avocats inscrits aux tableaux et listes nationales, des avocats honoraires des différents barreaux, des avocats étrangers exerçant ou non sous leur titre d’origine et de ceux exerçant à titre partiel en France, avec notamment : le nom, le prénom, l’identifiant CNBF, le barreau, l’adresse, la ville, le code postal, le SIRET de l’avocat, le nom de sa structure d’exercice et le SIRET de la structure d’exercice, ses mentions de spécialisation, sa date de prestation de serment, les fonctions exercées à l’ordre ou au CNB, les langues parlées, les mandats, les activités dominantes, les champs de compétence, le numéro de toque, le barreau d’origine, la nationalité, les collaborateurs, la catégorie professionnelle, les groupes de rattachement, les bureaux secondaires, l’année d’obtention du CAPA, le CRFPA de formation (le cas échéant), la voie d’accès à la profession (passerelle ou non), le diplôme nécessaire à l’entrée dans la profession et l’université l’ayant délivré (master 1 en droit ou équivalence), ainsi que les résultats obtenus au CAPA ou au pré-CAPA</w:t>
      </w:r>
      <w:r w:rsidR="00A06118">
        <w:rPr>
          <w:rFonts w:ascii="Times New Roman" w:eastAsiaTheme="minorEastAsia" w:hAnsi="Times New Roman" w:cs="Times New Roman"/>
          <w:bCs/>
          <w:sz w:val="26"/>
          <w:szCs w:val="26"/>
          <w:lang w:eastAsia="fr-FR"/>
        </w:rPr>
        <w:t xml:space="preserve"> (ci-après, « annuaire professionnel »)</w:t>
      </w:r>
      <w:r>
        <w:rPr>
          <w:rFonts w:ascii="Times New Roman" w:eastAsiaTheme="minorEastAsia" w:hAnsi="Times New Roman" w:cs="Times New Roman"/>
          <w:bCs/>
          <w:sz w:val="26"/>
          <w:szCs w:val="26"/>
          <w:lang w:eastAsia="fr-FR"/>
        </w:rPr>
        <w:t> ;</w:t>
      </w:r>
    </w:p>
    <w:p w14:paraId="1335C407" w14:textId="697E9CEA" w:rsidR="002C152E" w:rsidRDefault="002C152E" w:rsidP="00A0611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la liste de tous les cabinets, bureaux, groupements d’avocats, structures d’exercice et personnes morales avec le type de structure, l’adresse, la ville, le code postal, le barreau, le SIRET, le numéro de toque, la date éventuelle d’inscription au barreau, les bureaux secondaires, les associés, les collaborateurs et les of counsels</w:t>
      </w:r>
      <w:r w:rsidR="00A06118">
        <w:rPr>
          <w:rFonts w:ascii="Times New Roman" w:eastAsiaTheme="minorEastAsia" w:hAnsi="Times New Roman" w:cs="Times New Roman"/>
          <w:bCs/>
          <w:sz w:val="26"/>
          <w:szCs w:val="26"/>
          <w:lang w:eastAsia="fr-FR"/>
        </w:rPr>
        <w:t xml:space="preserve"> (ci-après, « liste des personnes morales »)</w:t>
      </w:r>
      <w:r>
        <w:rPr>
          <w:rFonts w:ascii="Times New Roman" w:eastAsiaTheme="minorEastAsia" w:hAnsi="Times New Roman" w:cs="Times New Roman"/>
          <w:bCs/>
          <w:sz w:val="26"/>
          <w:szCs w:val="26"/>
          <w:lang w:eastAsia="fr-FR"/>
        </w:rPr>
        <w:t>.</w:t>
      </w:r>
    </w:p>
    <w:p w14:paraId="5E5EAD55" w14:textId="629E05A6" w:rsidR="00A06118" w:rsidRDefault="00962E59" w:rsidP="00A0611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Ces documents</w:t>
      </w:r>
      <w:r w:rsidR="005174E9">
        <w:rPr>
          <w:rFonts w:ascii="Times New Roman" w:eastAsiaTheme="minorEastAsia" w:hAnsi="Times New Roman" w:cs="Times New Roman"/>
          <w:bCs/>
          <w:sz w:val="26"/>
          <w:szCs w:val="26"/>
          <w:lang w:eastAsia="fr-FR"/>
        </w:rPr>
        <w:t xml:space="preserve"> - </w:t>
      </w:r>
      <w:r>
        <w:rPr>
          <w:rFonts w:ascii="Times New Roman" w:eastAsiaTheme="minorEastAsia" w:hAnsi="Times New Roman" w:cs="Times New Roman"/>
          <w:bCs/>
          <w:sz w:val="26"/>
          <w:szCs w:val="26"/>
          <w:lang w:eastAsia="fr-FR"/>
        </w:rPr>
        <w:t>dont les données sont</w:t>
      </w:r>
      <w:r w:rsidR="005174E9">
        <w:rPr>
          <w:rFonts w:ascii="Times New Roman" w:eastAsiaTheme="minorEastAsia" w:hAnsi="Times New Roman" w:cs="Times New Roman"/>
          <w:bCs/>
          <w:sz w:val="26"/>
          <w:szCs w:val="26"/>
          <w:lang w:eastAsia="fr-FR"/>
        </w:rPr>
        <w:t>, pour la plupart,</w:t>
      </w:r>
      <w:r>
        <w:rPr>
          <w:rFonts w:ascii="Times New Roman" w:eastAsiaTheme="minorEastAsia" w:hAnsi="Times New Roman" w:cs="Times New Roman"/>
          <w:bCs/>
          <w:sz w:val="26"/>
          <w:szCs w:val="26"/>
          <w:lang w:eastAsia="fr-FR"/>
        </w:rPr>
        <w:t xml:space="preserve"> déjà accessibles</w:t>
      </w:r>
      <w:r w:rsidR="005174E9">
        <w:rPr>
          <w:rFonts w:ascii="Times New Roman" w:eastAsiaTheme="minorEastAsia" w:hAnsi="Times New Roman" w:cs="Times New Roman"/>
          <w:bCs/>
          <w:sz w:val="26"/>
          <w:szCs w:val="26"/>
          <w:lang w:eastAsia="fr-FR"/>
        </w:rPr>
        <w:t xml:space="preserve"> de manière très parcellaire sur les sites internet du CNB et des ordres d’avocats - </w:t>
      </w:r>
      <w:r>
        <w:rPr>
          <w:rFonts w:ascii="Times New Roman" w:eastAsiaTheme="minorEastAsia" w:hAnsi="Times New Roman" w:cs="Times New Roman"/>
          <w:bCs/>
          <w:sz w:val="26"/>
          <w:szCs w:val="26"/>
          <w:lang w:eastAsia="fr-FR"/>
        </w:rPr>
        <w:t>donnent à voir le fonctionnement et l’organisation d’une profession réglementée qui participe directement à l’exécution du service public de la justice</w:t>
      </w:r>
      <w:r w:rsidR="005174E9">
        <w:rPr>
          <w:rFonts w:ascii="Times New Roman" w:eastAsiaTheme="minorEastAsia" w:hAnsi="Times New Roman" w:cs="Times New Roman"/>
          <w:bCs/>
          <w:sz w:val="26"/>
          <w:szCs w:val="26"/>
          <w:lang w:eastAsia="fr-FR"/>
        </w:rPr>
        <w:t xml:space="preserve"> et </w:t>
      </w:r>
      <w:r>
        <w:rPr>
          <w:rFonts w:ascii="Times New Roman" w:eastAsiaTheme="minorEastAsia" w:hAnsi="Times New Roman" w:cs="Times New Roman"/>
          <w:bCs/>
          <w:sz w:val="26"/>
          <w:szCs w:val="26"/>
          <w:lang w:eastAsia="fr-FR"/>
        </w:rPr>
        <w:t>sont essentiels à la bonne information du public et des justiciables</w:t>
      </w:r>
      <w:r w:rsidR="005174E9">
        <w:rPr>
          <w:rFonts w:ascii="Times New Roman" w:eastAsiaTheme="minorEastAsia" w:hAnsi="Times New Roman" w:cs="Times New Roman"/>
          <w:bCs/>
          <w:sz w:val="26"/>
          <w:szCs w:val="26"/>
          <w:lang w:eastAsia="fr-FR"/>
        </w:rPr>
        <w:t>.</w:t>
      </w:r>
    </w:p>
    <w:p w14:paraId="4EF9D0F2" w14:textId="4CE67E8E" w:rsidR="005174E9" w:rsidRDefault="005174E9" w:rsidP="00A0611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Il s’agi</w:t>
      </w:r>
      <w:r w:rsidR="00A84999">
        <w:rPr>
          <w:rFonts w:ascii="Times New Roman" w:eastAsiaTheme="minorEastAsia" w:hAnsi="Times New Roman" w:cs="Times New Roman"/>
          <w:bCs/>
          <w:sz w:val="26"/>
          <w:szCs w:val="26"/>
          <w:lang w:eastAsia="fr-FR"/>
        </w:rPr>
        <w:t>ssai</w:t>
      </w:r>
      <w:r>
        <w:rPr>
          <w:rFonts w:ascii="Times New Roman" w:eastAsiaTheme="minorEastAsia" w:hAnsi="Times New Roman" w:cs="Times New Roman"/>
          <w:bCs/>
          <w:sz w:val="26"/>
          <w:szCs w:val="26"/>
          <w:lang w:eastAsia="fr-FR"/>
        </w:rPr>
        <w:t xml:space="preserve">t donc de rendre accessibles à tous, par voie de publication </w:t>
      </w:r>
      <w:r w:rsidR="001F0E74">
        <w:rPr>
          <w:rFonts w:ascii="Times New Roman" w:eastAsiaTheme="minorEastAsia" w:hAnsi="Times New Roman" w:cs="Times New Roman"/>
          <w:bCs/>
          <w:sz w:val="26"/>
          <w:szCs w:val="26"/>
          <w:lang w:eastAsia="fr-FR"/>
        </w:rPr>
        <w:t>en ligne</w:t>
      </w:r>
      <w:r>
        <w:rPr>
          <w:rStyle w:val="Appelnotedebasdep"/>
          <w:rFonts w:ascii="Times New Roman" w:eastAsiaTheme="minorEastAsia" w:hAnsi="Times New Roman" w:cs="Times New Roman"/>
          <w:bCs/>
          <w:sz w:val="26"/>
          <w:szCs w:val="26"/>
          <w:lang w:eastAsia="fr-FR"/>
        </w:rPr>
        <w:footnoteReference w:id="1"/>
      </w:r>
      <w:r>
        <w:rPr>
          <w:rFonts w:ascii="Times New Roman" w:eastAsiaTheme="minorEastAsia" w:hAnsi="Times New Roman" w:cs="Times New Roman"/>
          <w:bCs/>
          <w:sz w:val="26"/>
          <w:szCs w:val="26"/>
          <w:lang w:eastAsia="fr-FR"/>
        </w:rPr>
        <w:t xml:space="preserve"> et dans un format </w:t>
      </w:r>
      <w:r w:rsidR="00A06118">
        <w:rPr>
          <w:rFonts w:ascii="Times New Roman" w:eastAsiaTheme="minorEastAsia" w:hAnsi="Times New Roman" w:cs="Times New Roman"/>
          <w:bCs/>
          <w:sz w:val="26"/>
          <w:szCs w:val="26"/>
          <w:lang w:eastAsia="fr-FR"/>
        </w:rPr>
        <w:t xml:space="preserve">ouvert et </w:t>
      </w:r>
      <w:r w:rsidR="001F0E74">
        <w:rPr>
          <w:rFonts w:ascii="Times New Roman" w:eastAsiaTheme="minorEastAsia" w:hAnsi="Times New Roman" w:cs="Times New Roman"/>
          <w:bCs/>
          <w:sz w:val="26"/>
          <w:szCs w:val="26"/>
          <w:lang w:eastAsia="fr-FR"/>
        </w:rPr>
        <w:t>exploitable</w:t>
      </w:r>
      <w:r w:rsidR="001F0E74">
        <w:rPr>
          <w:rStyle w:val="Appelnotedebasdep"/>
          <w:rFonts w:ascii="Times New Roman" w:eastAsiaTheme="minorEastAsia" w:hAnsi="Times New Roman" w:cs="Times New Roman"/>
          <w:bCs/>
          <w:sz w:val="26"/>
          <w:szCs w:val="26"/>
          <w:lang w:eastAsia="fr-FR"/>
        </w:rPr>
        <w:footnoteReference w:id="2"/>
      </w:r>
      <w:r w:rsidR="001F0E74">
        <w:rPr>
          <w:rFonts w:ascii="Times New Roman" w:eastAsiaTheme="minorEastAsia" w:hAnsi="Times New Roman" w:cs="Times New Roman"/>
          <w:bCs/>
          <w:sz w:val="26"/>
          <w:szCs w:val="26"/>
          <w:lang w:eastAsia="fr-FR"/>
        </w:rPr>
        <w:t>, de</w:t>
      </w:r>
      <w:r w:rsidR="00A84999">
        <w:rPr>
          <w:rFonts w:ascii="Times New Roman" w:eastAsiaTheme="minorEastAsia" w:hAnsi="Times New Roman" w:cs="Times New Roman"/>
          <w:bCs/>
          <w:sz w:val="26"/>
          <w:szCs w:val="26"/>
          <w:lang w:eastAsia="fr-FR"/>
        </w:rPr>
        <w:t>s</w:t>
      </w:r>
      <w:r w:rsidR="001F0E74">
        <w:rPr>
          <w:rFonts w:ascii="Times New Roman" w:eastAsiaTheme="minorEastAsia" w:hAnsi="Times New Roman" w:cs="Times New Roman"/>
          <w:bCs/>
          <w:sz w:val="26"/>
          <w:szCs w:val="26"/>
          <w:lang w:eastAsia="fr-FR"/>
        </w:rPr>
        <w:t xml:space="preserve"> documents administratifs</w:t>
      </w:r>
      <w:r w:rsidR="00A84999">
        <w:rPr>
          <w:rFonts w:ascii="Times New Roman" w:eastAsiaTheme="minorEastAsia" w:hAnsi="Times New Roman" w:cs="Times New Roman"/>
          <w:bCs/>
          <w:sz w:val="26"/>
          <w:szCs w:val="26"/>
          <w:lang w:eastAsia="fr-FR"/>
        </w:rPr>
        <w:t>,</w:t>
      </w:r>
      <w:r w:rsidR="001F0E74">
        <w:rPr>
          <w:rFonts w:ascii="Times New Roman" w:eastAsiaTheme="minorEastAsia" w:hAnsi="Times New Roman" w:cs="Times New Roman"/>
          <w:bCs/>
          <w:sz w:val="26"/>
          <w:szCs w:val="26"/>
          <w:lang w:eastAsia="fr-FR"/>
        </w:rPr>
        <w:t xml:space="preserve"> qui présentent un caractère d’utilité publique</w:t>
      </w:r>
      <w:r w:rsidR="00A84999">
        <w:rPr>
          <w:rFonts w:ascii="Times New Roman" w:eastAsiaTheme="minorEastAsia" w:hAnsi="Times New Roman" w:cs="Times New Roman"/>
          <w:bCs/>
          <w:sz w:val="26"/>
          <w:szCs w:val="26"/>
          <w:lang w:eastAsia="fr-FR"/>
        </w:rPr>
        <w:t xml:space="preserve"> évident,</w:t>
      </w:r>
      <w:r w:rsidR="001F0E74">
        <w:rPr>
          <w:rFonts w:ascii="Times New Roman" w:eastAsiaTheme="minorEastAsia" w:hAnsi="Times New Roman" w:cs="Times New Roman"/>
          <w:bCs/>
          <w:sz w:val="26"/>
          <w:szCs w:val="26"/>
          <w:lang w:eastAsia="fr-FR"/>
        </w:rPr>
        <w:t xml:space="preserve"> produits par les institutions représentatives </w:t>
      </w:r>
      <w:r w:rsidR="00B65461">
        <w:rPr>
          <w:rFonts w:ascii="Times New Roman" w:eastAsiaTheme="minorEastAsia" w:hAnsi="Times New Roman" w:cs="Times New Roman"/>
          <w:bCs/>
          <w:sz w:val="26"/>
          <w:szCs w:val="26"/>
          <w:lang w:eastAsia="fr-FR"/>
        </w:rPr>
        <w:t xml:space="preserve">de la profession d’avocat - qu’il s’agisse du CNB ou des ordres -, </w:t>
      </w:r>
      <w:r w:rsidR="0030458F">
        <w:rPr>
          <w:rFonts w:ascii="Times New Roman" w:eastAsiaTheme="minorEastAsia" w:hAnsi="Times New Roman" w:cs="Times New Roman"/>
          <w:bCs/>
          <w:sz w:val="26"/>
          <w:szCs w:val="26"/>
          <w:lang w:eastAsia="fr-FR"/>
        </w:rPr>
        <w:t>dont elles assurent l’organisation et le contrôle</w:t>
      </w:r>
      <w:r w:rsidR="0030458F">
        <w:rPr>
          <w:rStyle w:val="Appelnotedebasdep"/>
          <w:rFonts w:ascii="Times New Roman" w:eastAsiaTheme="minorEastAsia" w:hAnsi="Times New Roman" w:cs="Times New Roman"/>
          <w:bCs/>
          <w:sz w:val="26"/>
          <w:szCs w:val="26"/>
          <w:lang w:eastAsia="fr-FR"/>
        </w:rPr>
        <w:footnoteReference w:id="3"/>
      </w:r>
      <w:r w:rsidR="00A84999">
        <w:rPr>
          <w:rFonts w:ascii="Times New Roman" w:eastAsiaTheme="minorEastAsia" w:hAnsi="Times New Roman" w:cs="Times New Roman"/>
          <w:bCs/>
          <w:sz w:val="26"/>
          <w:szCs w:val="26"/>
          <w:lang w:eastAsia="fr-FR"/>
        </w:rPr>
        <w:t>.</w:t>
      </w:r>
    </w:p>
    <w:p w14:paraId="0DF8E91E" w14:textId="13F90505" w:rsidR="004569CB" w:rsidRDefault="00A36684"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A36684">
        <w:rPr>
          <w:rFonts w:ascii="Times New Roman" w:eastAsiaTheme="minorEastAsia" w:hAnsi="Times New Roman" w:cs="Times New Roman"/>
          <w:b/>
          <w:sz w:val="26"/>
          <w:szCs w:val="26"/>
          <w:lang w:eastAsia="fr-FR"/>
        </w:rPr>
        <w:lastRenderedPageBreak/>
        <w:t>3.</w:t>
      </w:r>
      <w:r>
        <w:rPr>
          <w:rFonts w:ascii="Times New Roman" w:eastAsiaTheme="minorEastAsia" w:hAnsi="Times New Roman" w:cs="Times New Roman"/>
          <w:bCs/>
          <w:sz w:val="26"/>
          <w:szCs w:val="26"/>
          <w:lang w:eastAsia="fr-FR"/>
        </w:rPr>
        <w:t xml:space="preserve"> Le CNB n’ayant pas répondu à cette demande</w:t>
      </w:r>
      <w:r w:rsidR="00417D09">
        <w:rPr>
          <w:rFonts w:ascii="Times New Roman" w:eastAsiaTheme="minorEastAsia" w:hAnsi="Times New Roman" w:cs="Times New Roman"/>
          <w:bCs/>
          <w:sz w:val="26"/>
          <w:szCs w:val="26"/>
          <w:lang w:eastAsia="fr-FR"/>
        </w:rPr>
        <w:t xml:space="preserve"> dans le délai d’un mois</w:t>
      </w:r>
      <w:r>
        <w:rPr>
          <w:rFonts w:ascii="Times New Roman" w:eastAsiaTheme="minorEastAsia" w:hAnsi="Times New Roman" w:cs="Times New Roman"/>
          <w:bCs/>
          <w:sz w:val="26"/>
          <w:szCs w:val="26"/>
          <w:lang w:eastAsia="fr-FR"/>
        </w:rPr>
        <w:t>, une décision implicite de rejet est née le 17 février 2019</w:t>
      </w:r>
      <w:r>
        <w:rPr>
          <w:rStyle w:val="Appelnotedebasdep"/>
          <w:rFonts w:ascii="Times New Roman" w:eastAsiaTheme="minorEastAsia" w:hAnsi="Times New Roman" w:cs="Times New Roman"/>
          <w:bCs/>
          <w:sz w:val="26"/>
          <w:szCs w:val="26"/>
          <w:lang w:eastAsia="fr-FR"/>
        </w:rPr>
        <w:footnoteReference w:id="4"/>
      </w:r>
      <w:r w:rsidR="004569CB">
        <w:rPr>
          <w:rFonts w:ascii="Times New Roman" w:eastAsiaTheme="minorEastAsia" w:hAnsi="Times New Roman" w:cs="Times New Roman"/>
          <w:bCs/>
          <w:sz w:val="26"/>
          <w:szCs w:val="26"/>
          <w:lang w:eastAsia="fr-FR"/>
        </w:rPr>
        <w:t>.</w:t>
      </w:r>
    </w:p>
    <w:p w14:paraId="697BFA55" w14:textId="50CD200D" w:rsidR="005174E9" w:rsidRDefault="004569CB"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w:t>
      </w:r>
      <w:r w:rsidR="00A36684">
        <w:rPr>
          <w:rFonts w:ascii="Times New Roman" w:eastAsiaTheme="minorEastAsia" w:hAnsi="Times New Roman" w:cs="Times New Roman"/>
          <w:bCs/>
          <w:sz w:val="26"/>
          <w:szCs w:val="26"/>
          <w:lang w:eastAsia="fr-FR"/>
        </w:rPr>
        <w:t xml:space="preserve">’association « Ouvre-Boîte » a alors saisi, dans un premier temps, la CADA d’une demande d’avis sur la communicabilité de ces documents puis, dans un second temps, la juridiction administrative d’un recours tendant à l’annulation de </w:t>
      </w:r>
      <w:r>
        <w:rPr>
          <w:rFonts w:ascii="Times New Roman" w:eastAsiaTheme="minorEastAsia" w:hAnsi="Times New Roman" w:cs="Times New Roman"/>
          <w:bCs/>
          <w:sz w:val="26"/>
          <w:szCs w:val="26"/>
          <w:lang w:eastAsia="fr-FR"/>
        </w:rPr>
        <w:t>cette</w:t>
      </w:r>
      <w:r w:rsidR="00A36684">
        <w:rPr>
          <w:rFonts w:ascii="Times New Roman" w:eastAsiaTheme="minorEastAsia" w:hAnsi="Times New Roman" w:cs="Times New Roman"/>
          <w:bCs/>
          <w:sz w:val="26"/>
          <w:szCs w:val="26"/>
          <w:lang w:eastAsia="fr-FR"/>
        </w:rPr>
        <w:t xml:space="preserve"> décision implicite de rejet</w:t>
      </w:r>
      <w:r>
        <w:rPr>
          <w:rFonts w:ascii="Times New Roman" w:eastAsiaTheme="minorEastAsia" w:hAnsi="Times New Roman" w:cs="Times New Roman"/>
          <w:bCs/>
          <w:sz w:val="26"/>
          <w:szCs w:val="26"/>
          <w:lang w:eastAsia="fr-FR"/>
        </w:rPr>
        <w:t>.</w:t>
      </w:r>
    </w:p>
    <w:p w14:paraId="68537480" w14:textId="64A95446" w:rsidR="004569CB" w:rsidRDefault="004569CB"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F12F259" w14:textId="7350C678" w:rsidR="004569CB" w:rsidRDefault="004569CB"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4569CB">
        <w:rPr>
          <w:rFonts w:ascii="Times New Roman" w:eastAsiaTheme="minorEastAsia" w:hAnsi="Times New Roman" w:cs="Times New Roman"/>
          <w:b/>
          <w:sz w:val="26"/>
          <w:szCs w:val="26"/>
          <w:lang w:eastAsia="fr-FR"/>
        </w:rPr>
        <w:t>4.</w:t>
      </w:r>
      <w:r>
        <w:rPr>
          <w:rFonts w:ascii="Times New Roman" w:eastAsiaTheme="minorEastAsia" w:hAnsi="Times New Roman" w:cs="Times New Roman"/>
          <w:bCs/>
          <w:sz w:val="26"/>
          <w:szCs w:val="26"/>
          <w:lang w:eastAsia="fr-FR"/>
        </w:rPr>
        <w:t xml:space="preserve"> Alors que la requête était pendante devant le tribunal administratif de Paris, la CADA a émis, le 26 septembre 2019, un </w:t>
      </w:r>
      <w:r w:rsidRPr="00417D09">
        <w:rPr>
          <w:rFonts w:ascii="Times New Roman" w:eastAsiaTheme="minorEastAsia" w:hAnsi="Times New Roman" w:cs="Times New Roman"/>
          <w:bCs/>
          <w:sz w:val="26"/>
          <w:szCs w:val="26"/>
          <w:u w:val="single"/>
          <w:lang w:eastAsia="fr-FR"/>
        </w:rPr>
        <w:t>avis favorable</w:t>
      </w:r>
      <w:r>
        <w:rPr>
          <w:rFonts w:ascii="Times New Roman" w:eastAsiaTheme="minorEastAsia" w:hAnsi="Times New Roman" w:cs="Times New Roman"/>
          <w:bCs/>
          <w:sz w:val="26"/>
          <w:szCs w:val="26"/>
          <w:lang w:eastAsia="fr-FR"/>
        </w:rPr>
        <w:t xml:space="preserve"> à la mise en ligne, dans un format ouvert, aisément réutilisable et exploitable par un système de traitement automatisé de la base de données actuellement uniquement consultable par un moteur de recherche</w:t>
      </w:r>
      <w:r w:rsidR="00C6162E">
        <w:rPr>
          <w:rFonts w:ascii="Times New Roman" w:eastAsiaTheme="minorEastAsia" w:hAnsi="Times New Roman" w:cs="Times New Roman"/>
          <w:bCs/>
          <w:sz w:val="26"/>
          <w:szCs w:val="26"/>
          <w:lang w:eastAsia="fr-FR"/>
        </w:rPr>
        <w:t xml:space="preserve"> (limité à 200 résultats triés de manière aléatoires)</w:t>
      </w:r>
      <w:r>
        <w:rPr>
          <w:rFonts w:ascii="Times New Roman" w:eastAsiaTheme="minorEastAsia" w:hAnsi="Times New Roman" w:cs="Times New Roman"/>
          <w:bCs/>
          <w:sz w:val="26"/>
          <w:szCs w:val="26"/>
          <w:lang w:eastAsia="fr-FR"/>
        </w:rPr>
        <w:t xml:space="preserve"> sur le site du CNB </w:t>
      </w:r>
      <w:r w:rsidRPr="00417D09">
        <w:rPr>
          <w:rFonts w:ascii="Times New Roman" w:eastAsiaTheme="minorEastAsia" w:hAnsi="Times New Roman" w:cs="Times New Roman"/>
          <w:bCs/>
          <w:sz w:val="26"/>
          <w:szCs w:val="26"/>
          <w:u w:val="single"/>
          <w:lang w:eastAsia="fr-FR"/>
        </w:rPr>
        <w:t>dans la limite des informations actuellement accessibles</w:t>
      </w:r>
      <w:r>
        <w:rPr>
          <w:rFonts w:ascii="Times New Roman" w:eastAsiaTheme="minorEastAsia" w:hAnsi="Times New Roman" w:cs="Times New Roman"/>
          <w:bCs/>
          <w:sz w:val="26"/>
          <w:szCs w:val="26"/>
          <w:lang w:eastAsia="fr-FR"/>
        </w:rPr>
        <w:t xml:space="preserve"> (nom, prénom, barreau, adresse, mention, langues</w:t>
      </w:r>
      <w:r w:rsidR="00C6162E">
        <w:rPr>
          <w:rFonts w:ascii="Times New Roman" w:eastAsiaTheme="minorEastAsia" w:hAnsi="Times New Roman" w:cs="Times New Roman"/>
          <w:bCs/>
          <w:sz w:val="26"/>
          <w:szCs w:val="26"/>
          <w:lang w:eastAsia="fr-FR"/>
        </w:rPr>
        <w:t>).</w:t>
      </w:r>
    </w:p>
    <w:p w14:paraId="7CDADD48" w14:textId="3893776A" w:rsidR="00C6162E" w:rsidRDefault="00C6162E" w:rsidP="00C45E14">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Les motifs de cet avis exposent </w:t>
      </w:r>
      <w:r w:rsidR="00417D09">
        <w:rPr>
          <w:rFonts w:ascii="Times New Roman" w:eastAsiaTheme="minorEastAsia" w:hAnsi="Times New Roman" w:cs="Times New Roman"/>
          <w:bCs/>
          <w:sz w:val="26"/>
          <w:szCs w:val="26"/>
          <w:lang w:eastAsia="fr-FR"/>
        </w:rPr>
        <w:t xml:space="preserve">ainsi </w:t>
      </w:r>
      <w:r>
        <w:rPr>
          <w:rFonts w:ascii="Times New Roman" w:eastAsiaTheme="minorEastAsia" w:hAnsi="Times New Roman" w:cs="Times New Roman"/>
          <w:bCs/>
          <w:sz w:val="26"/>
          <w:szCs w:val="26"/>
          <w:lang w:eastAsia="fr-FR"/>
        </w:rPr>
        <w:t>que :</w:t>
      </w:r>
    </w:p>
    <w:p w14:paraId="51D9255E" w14:textId="74793119" w:rsidR="00C6162E" w:rsidRPr="000B681A" w:rsidRDefault="00C6162E" w:rsidP="000B681A">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0B681A">
        <w:rPr>
          <w:rFonts w:ascii="Times New Roman" w:eastAsiaTheme="minorEastAsia" w:hAnsi="Times New Roman" w:cs="Times New Roman"/>
          <w:bCs/>
          <w:sz w:val="24"/>
          <w:szCs w:val="24"/>
          <w:lang w:eastAsia="fr-FR"/>
        </w:rPr>
        <w:t xml:space="preserve">« la commission estime que la création, par le législateur, d’un point d’accès centralisé afin de favoriser l’accès aux avocats, auxiliaires de justice qui font partie du service public de la justice et concourent à sa bonne exécution, si elle participe de la promotion de la profession auprès du grand public, se rattache à la mission d’organisation de la profession réglementée que la loi confie au CNB (TC, 18 juin 2001, </w:t>
      </w:r>
      <w:r w:rsidRPr="000B681A">
        <w:rPr>
          <w:rFonts w:ascii="Times New Roman" w:eastAsiaTheme="minorEastAsia" w:hAnsi="Times New Roman" w:cs="Times New Roman"/>
          <w:bCs/>
          <w:i/>
          <w:iCs/>
          <w:sz w:val="24"/>
          <w:szCs w:val="24"/>
          <w:lang w:eastAsia="fr-FR"/>
        </w:rPr>
        <w:t>Ordre des avocats du barreau de Tours</w:t>
      </w:r>
      <w:r w:rsidRPr="000B681A">
        <w:rPr>
          <w:rFonts w:ascii="Times New Roman" w:eastAsiaTheme="minorEastAsia" w:hAnsi="Times New Roman" w:cs="Times New Roman"/>
          <w:bCs/>
          <w:sz w:val="24"/>
          <w:szCs w:val="24"/>
          <w:lang w:eastAsia="fr-FR"/>
        </w:rPr>
        <w:t>, n° 3250 [Rec. 745, AJDA 2001.847, chron. M. Guyomar et P. Collin]).</w:t>
      </w:r>
    </w:p>
    <w:p w14:paraId="685D9294" w14:textId="2AB9CA36" w:rsidR="00C6162E" w:rsidRPr="000B681A" w:rsidRDefault="00C6162E" w:rsidP="000B681A">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0B681A">
        <w:rPr>
          <w:rFonts w:ascii="Times New Roman" w:eastAsiaTheme="minorEastAsia" w:hAnsi="Times New Roman" w:cs="Times New Roman"/>
          <w:bCs/>
          <w:sz w:val="24"/>
          <w:szCs w:val="24"/>
          <w:lang w:eastAsia="fr-FR"/>
        </w:rPr>
        <w:t xml:space="preserve">La commission estime, en conséquence, que </w:t>
      </w:r>
      <w:r w:rsidRPr="000B681A">
        <w:rPr>
          <w:rFonts w:ascii="Times New Roman" w:eastAsiaTheme="minorEastAsia" w:hAnsi="Times New Roman" w:cs="Times New Roman"/>
          <w:bCs/>
          <w:sz w:val="24"/>
          <w:szCs w:val="24"/>
          <w:u w:val="single"/>
          <w:lang w:eastAsia="fr-FR"/>
        </w:rPr>
        <w:t>la constitution d’un annuaire public de la profession d’avocat relève d’une mission de service public confiée au CNB, avec le concours des barreaux</w:t>
      </w:r>
      <w:r w:rsidRPr="000B681A">
        <w:rPr>
          <w:rFonts w:ascii="Times New Roman" w:eastAsiaTheme="minorEastAsia" w:hAnsi="Times New Roman" w:cs="Times New Roman"/>
          <w:bCs/>
          <w:sz w:val="24"/>
          <w:szCs w:val="24"/>
          <w:lang w:eastAsia="fr-FR"/>
        </w:rPr>
        <w:t>.</w:t>
      </w:r>
    </w:p>
    <w:p w14:paraId="348F3CAE" w14:textId="1A2D6218" w:rsidR="00C6162E" w:rsidRPr="000B681A" w:rsidRDefault="00C6162E" w:rsidP="000B681A">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0B681A">
        <w:rPr>
          <w:rFonts w:ascii="Times New Roman" w:eastAsiaTheme="minorEastAsia" w:hAnsi="Times New Roman" w:cs="Times New Roman"/>
          <w:bCs/>
          <w:sz w:val="24"/>
          <w:szCs w:val="24"/>
          <w:lang w:eastAsia="fr-FR"/>
        </w:rPr>
        <w:t>Elle en déduit que cet annuaire et la base de données réunies en vue de sa constitution sont des documents administratifs.</w:t>
      </w:r>
    </w:p>
    <w:p w14:paraId="32015963" w14:textId="61783199" w:rsidR="00417D09" w:rsidRDefault="00C6162E" w:rsidP="000B681A">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0B681A">
        <w:rPr>
          <w:rFonts w:ascii="Times New Roman" w:eastAsiaTheme="minorEastAsia" w:hAnsi="Times New Roman" w:cs="Times New Roman"/>
          <w:bCs/>
          <w:sz w:val="24"/>
          <w:szCs w:val="24"/>
          <w:lang w:eastAsia="fr-FR"/>
        </w:rPr>
        <w:t xml:space="preserve">Elle estime, en outre, que </w:t>
      </w:r>
      <w:r w:rsidRPr="000B681A">
        <w:rPr>
          <w:rFonts w:ascii="Times New Roman" w:eastAsiaTheme="minorEastAsia" w:hAnsi="Times New Roman" w:cs="Times New Roman"/>
          <w:bCs/>
          <w:sz w:val="24"/>
          <w:szCs w:val="24"/>
          <w:u w:val="single"/>
          <w:lang w:eastAsia="fr-FR"/>
        </w:rPr>
        <w:t>les dispositions de l’article 21-1 de la loi n° 71-1130 du 31 décembre 1971 prévoyant la mise à disposition du public, en ligne, de l’annuaire de la profession d’avocat, ne font pas obstacle à ce que l’accès à ce document</w:t>
      </w:r>
      <w:r w:rsidR="000B681A" w:rsidRPr="000B681A">
        <w:rPr>
          <w:rFonts w:ascii="Times New Roman" w:eastAsiaTheme="minorEastAsia" w:hAnsi="Times New Roman" w:cs="Times New Roman"/>
          <w:bCs/>
          <w:sz w:val="24"/>
          <w:szCs w:val="24"/>
          <w:u w:val="single"/>
          <w:lang w:eastAsia="fr-FR"/>
        </w:rPr>
        <w:t>, et la réutilisation des informations publiques qu’il contient, soient régis par les dispositions générales du livre III du code des relations entre le public et l’administration</w:t>
      </w:r>
      <w:r w:rsidR="00417D09">
        <w:rPr>
          <w:rFonts w:ascii="Times New Roman" w:eastAsiaTheme="minorEastAsia" w:hAnsi="Times New Roman" w:cs="Times New Roman"/>
          <w:bCs/>
          <w:sz w:val="24"/>
          <w:szCs w:val="24"/>
          <w:lang w:eastAsia="fr-FR"/>
        </w:rPr>
        <w:t xml:space="preserve">. </w:t>
      </w:r>
    </w:p>
    <w:p w14:paraId="36B09EC3" w14:textId="77777777" w:rsidR="00417D09" w:rsidRDefault="00417D09" w:rsidP="000B681A">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w:t>
      </w:r>
    </w:p>
    <w:p w14:paraId="42F0C21A" w14:textId="77777777" w:rsidR="00A06118" w:rsidRDefault="00A06118" w:rsidP="00A06118">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p>
    <w:p w14:paraId="5F8DD720" w14:textId="52F52D65" w:rsidR="00417D09" w:rsidRDefault="00417D09" w:rsidP="00A06118">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lastRenderedPageBreak/>
        <w:t>Elle précise (…) qu’</w:t>
      </w:r>
      <w:r w:rsidR="000B681A" w:rsidRPr="000B681A">
        <w:rPr>
          <w:rFonts w:ascii="Times New Roman" w:eastAsiaTheme="minorEastAsia" w:hAnsi="Times New Roman" w:cs="Times New Roman"/>
          <w:bCs/>
          <w:sz w:val="24"/>
          <w:szCs w:val="24"/>
          <w:lang w:eastAsia="fr-FR"/>
        </w:rPr>
        <w:t xml:space="preserve">en prévoyant que l’annuaire national des avocats inscrits au tableau d’un barreau établi par le CNB était mis en ligne, le législateur a nécessairement dérogé, pour les mentions ainsi appelées à être rendues publiques, au secret de la vie privée ainsi qu’à la protection des données à caractère personnel des avocats concernés. La commission relève, d’ailleurs, que les dispositions de </w:t>
      </w:r>
      <w:r w:rsidR="000B681A" w:rsidRPr="00417D09">
        <w:rPr>
          <w:rFonts w:ascii="Times New Roman" w:eastAsiaTheme="minorEastAsia" w:hAnsi="Times New Roman" w:cs="Times New Roman"/>
          <w:bCs/>
          <w:sz w:val="24"/>
          <w:szCs w:val="24"/>
          <w:lang w:eastAsia="fr-FR"/>
        </w:rPr>
        <w:t xml:space="preserve">l’article D. 312-1-3 du </w:t>
      </w:r>
      <w:r w:rsidR="009C5436">
        <w:rPr>
          <w:rFonts w:ascii="Times New Roman" w:eastAsiaTheme="minorEastAsia" w:hAnsi="Times New Roman" w:cs="Times New Roman"/>
          <w:bCs/>
          <w:sz w:val="24"/>
          <w:szCs w:val="24"/>
          <w:lang w:eastAsia="fr-FR"/>
        </w:rPr>
        <w:t>code des relations entre le public et l’administration</w:t>
      </w:r>
      <w:r w:rsidR="000B681A" w:rsidRPr="00417D09">
        <w:rPr>
          <w:rFonts w:ascii="Times New Roman" w:eastAsiaTheme="minorEastAsia" w:hAnsi="Times New Roman" w:cs="Times New Roman"/>
          <w:bCs/>
          <w:sz w:val="24"/>
          <w:szCs w:val="24"/>
          <w:lang w:eastAsia="fr-FR"/>
        </w:rPr>
        <w:t xml:space="preserve"> prévoient que peuvent être mis en ligne sans avoir fait au préalable l’objet d’un traitement permettant leur anonymisation, les documents nécessaires à l’information du public relatifs aux conditions d’organisation et d’exercice des professions réglementées et des activités professionnelles soumises à la réglementation, notamment celles relatives à l’exercice des professions de notaire, avocat, huissier de justice et architecte</w:t>
      </w:r>
      <w:r>
        <w:rPr>
          <w:rFonts w:ascii="Times New Roman" w:eastAsiaTheme="minorEastAsia" w:hAnsi="Times New Roman" w:cs="Times New Roman"/>
          <w:bCs/>
          <w:sz w:val="24"/>
          <w:szCs w:val="24"/>
          <w:lang w:eastAsia="fr-FR"/>
        </w:rPr>
        <w:t>.</w:t>
      </w:r>
    </w:p>
    <w:p w14:paraId="6C81A7E0" w14:textId="55DAAAD2" w:rsidR="000B681A" w:rsidRPr="000B681A" w:rsidRDefault="00417D09" w:rsidP="00A06118">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S’agissant (…) des autres informations dont le demandeur sollicite la mise en ligne sur ce point de la demande, la commission prend acte qu’elles ne sont pas en possession du CNB. La commission précise qu’en tout état de cause, ces informations, eu égard à leur degré de précision ne sont pas nécessaires à la constitution de l’annuaire</w:t>
      </w:r>
      <w:r w:rsidR="00A06118">
        <w:rPr>
          <w:rFonts w:ascii="Times New Roman" w:eastAsiaTheme="minorEastAsia" w:hAnsi="Times New Roman" w:cs="Times New Roman"/>
          <w:bCs/>
          <w:sz w:val="24"/>
          <w:szCs w:val="24"/>
          <w:lang w:eastAsia="fr-FR"/>
        </w:rPr>
        <w:t xml:space="preserve"> public de la profession voulu par le législateur et ne relèveraient pas de la nécessaire information du public des conditions d’organisation et d’exercice de la profession réglementée. Ainsi, à supposer que ces informations ne relèvent pas du secret de la vie privée, elles constituent des données à caractère personnel qui ne peuvent être mises en ligne sans anonymisation</w:t>
      </w:r>
      <w:r w:rsidR="000B681A" w:rsidRPr="00417D09">
        <w:rPr>
          <w:rFonts w:ascii="Times New Roman" w:eastAsiaTheme="minorEastAsia" w:hAnsi="Times New Roman" w:cs="Times New Roman"/>
          <w:bCs/>
          <w:sz w:val="24"/>
          <w:szCs w:val="24"/>
          <w:lang w:eastAsia="fr-FR"/>
        </w:rPr>
        <w:t> ».</w:t>
      </w:r>
    </w:p>
    <w:p w14:paraId="7940CA38" w14:textId="05341CB8" w:rsidR="00C45E14" w:rsidRDefault="00A06118" w:rsidP="0030458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En revanche, la CADA a considéré que la demande portant sur la communication de la liste des personnes morales était dépourvue d’objet dès lors que « la présidente du CNB a informé la commission que le CNB ne disposait d’aucune liste de tous les cabinets, bureaux, groupements d’avocats, structures d’exercice et personnes morales ».</w:t>
      </w:r>
    </w:p>
    <w:p w14:paraId="3B3E71B8" w14:textId="659D867E" w:rsidR="00A06118" w:rsidRDefault="00A06118" w:rsidP="0030458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6B4B439" w14:textId="3DD8B65D" w:rsidR="005624A3" w:rsidRDefault="00A06118" w:rsidP="0030458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A06118">
        <w:rPr>
          <w:rFonts w:ascii="Times New Roman" w:eastAsiaTheme="minorEastAsia" w:hAnsi="Times New Roman" w:cs="Times New Roman"/>
          <w:b/>
          <w:sz w:val="26"/>
          <w:szCs w:val="26"/>
          <w:lang w:eastAsia="fr-FR"/>
        </w:rPr>
        <w:t>5.</w:t>
      </w:r>
      <w:r>
        <w:rPr>
          <w:rFonts w:ascii="Times New Roman" w:eastAsiaTheme="minorEastAsia" w:hAnsi="Times New Roman" w:cs="Times New Roman"/>
          <w:bCs/>
          <w:sz w:val="26"/>
          <w:szCs w:val="26"/>
          <w:lang w:eastAsia="fr-FR"/>
        </w:rPr>
        <w:t xml:space="preserve"> L</w:t>
      </w:r>
      <w:r w:rsidR="00545750">
        <w:rPr>
          <w:rFonts w:ascii="Times New Roman" w:eastAsiaTheme="minorEastAsia" w:hAnsi="Times New Roman" w:cs="Times New Roman"/>
          <w:bCs/>
          <w:sz w:val="26"/>
          <w:szCs w:val="26"/>
          <w:lang w:eastAsia="fr-FR"/>
        </w:rPr>
        <w:t>a présidente du</w:t>
      </w:r>
      <w:r>
        <w:rPr>
          <w:rFonts w:ascii="Times New Roman" w:eastAsiaTheme="minorEastAsia" w:hAnsi="Times New Roman" w:cs="Times New Roman"/>
          <w:bCs/>
          <w:sz w:val="26"/>
          <w:szCs w:val="26"/>
          <w:lang w:eastAsia="fr-FR"/>
        </w:rPr>
        <w:t xml:space="preserve"> CNB a cependant refusé de donner suite à cet avis par une décision du 14 novembre 2019, aux termes de laquelle </w:t>
      </w:r>
      <w:r w:rsidR="00545750">
        <w:rPr>
          <w:rFonts w:ascii="Times New Roman" w:eastAsiaTheme="minorEastAsia" w:hAnsi="Times New Roman" w:cs="Times New Roman"/>
          <w:bCs/>
          <w:sz w:val="26"/>
          <w:szCs w:val="26"/>
          <w:lang w:eastAsia="fr-FR"/>
        </w:rPr>
        <w:t>elle</w:t>
      </w:r>
      <w:r>
        <w:rPr>
          <w:rFonts w:ascii="Times New Roman" w:eastAsiaTheme="minorEastAsia" w:hAnsi="Times New Roman" w:cs="Times New Roman"/>
          <w:bCs/>
          <w:sz w:val="26"/>
          <w:szCs w:val="26"/>
          <w:lang w:eastAsia="fr-FR"/>
        </w:rPr>
        <w:t xml:space="preserve"> estimait </w:t>
      </w:r>
      <w:r w:rsidR="005624A3">
        <w:rPr>
          <w:rFonts w:ascii="Times New Roman" w:eastAsiaTheme="minorEastAsia" w:hAnsi="Times New Roman" w:cs="Times New Roman"/>
          <w:bCs/>
          <w:sz w:val="26"/>
          <w:szCs w:val="26"/>
          <w:lang w:eastAsia="fr-FR"/>
        </w:rPr>
        <w:t>notamment que :</w:t>
      </w:r>
    </w:p>
    <w:p w14:paraId="673D8A21" w14:textId="5A3B1C40" w:rsidR="00A06118" w:rsidRPr="005624A3" w:rsidRDefault="005624A3" w:rsidP="005624A3">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5624A3">
        <w:rPr>
          <w:rFonts w:ascii="Times New Roman" w:eastAsiaTheme="minorEastAsia" w:hAnsi="Times New Roman" w:cs="Times New Roman"/>
          <w:bCs/>
          <w:sz w:val="24"/>
          <w:szCs w:val="24"/>
          <w:lang w:eastAsia="fr-FR"/>
        </w:rPr>
        <w:t>« </w:t>
      </w:r>
      <w:r w:rsidR="00A06118" w:rsidRPr="005624A3">
        <w:rPr>
          <w:rFonts w:ascii="Times New Roman" w:eastAsiaTheme="minorEastAsia" w:hAnsi="Times New Roman" w:cs="Times New Roman"/>
          <w:bCs/>
          <w:sz w:val="24"/>
          <w:szCs w:val="24"/>
          <w:lang w:eastAsia="fr-FR"/>
        </w:rPr>
        <w:t xml:space="preserve">la publication </w:t>
      </w:r>
      <w:r w:rsidRPr="005624A3">
        <w:rPr>
          <w:rFonts w:ascii="Times New Roman" w:eastAsiaTheme="minorEastAsia" w:hAnsi="Times New Roman" w:cs="Times New Roman"/>
          <w:bCs/>
          <w:sz w:val="24"/>
          <w:szCs w:val="24"/>
          <w:lang w:eastAsia="fr-FR"/>
        </w:rPr>
        <w:t>de l’annuaire national des avocats de France sur le site internet de l’institution sous un format uniquement consultable par l’intermédiaire d’un moteur de recherche est suffisante au regard des objectifs poursuivis par le législateur en matière d’information du public ».</w:t>
      </w:r>
    </w:p>
    <w:p w14:paraId="5E1E9643" w14:textId="26203F86" w:rsidR="00C45E14" w:rsidRDefault="00C45E14" w:rsidP="005624A3">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E31B39F" w14:textId="627A704C" w:rsidR="00B804D1" w:rsidRDefault="00B804D1" w:rsidP="005624A3">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545750">
        <w:rPr>
          <w:rFonts w:ascii="Times New Roman" w:eastAsiaTheme="minorEastAsia" w:hAnsi="Times New Roman" w:cs="Times New Roman"/>
          <w:b/>
          <w:sz w:val="26"/>
          <w:szCs w:val="26"/>
          <w:lang w:eastAsia="fr-FR"/>
        </w:rPr>
        <w:t>6.</w:t>
      </w:r>
      <w:r>
        <w:rPr>
          <w:rFonts w:ascii="Times New Roman" w:eastAsiaTheme="minorEastAsia" w:hAnsi="Times New Roman" w:cs="Times New Roman"/>
          <w:bCs/>
          <w:sz w:val="26"/>
          <w:szCs w:val="26"/>
          <w:lang w:eastAsia="fr-FR"/>
        </w:rPr>
        <w:t xml:space="preserve"> Par un </w:t>
      </w:r>
      <w:r w:rsidRPr="00545750">
        <w:rPr>
          <w:rFonts w:ascii="Times New Roman" w:eastAsiaTheme="minorEastAsia" w:hAnsi="Times New Roman" w:cs="Times New Roman"/>
          <w:b/>
          <w:sz w:val="26"/>
          <w:szCs w:val="26"/>
          <w:u w:val="single"/>
          <w:lang w:eastAsia="fr-FR"/>
        </w:rPr>
        <w:t>jugement du 15 janvier 2021</w:t>
      </w:r>
      <w:r>
        <w:rPr>
          <w:rFonts w:ascii="Times New Roman" w:eastAsiaTheme="minorEastAsia" w:hAnsi="Times New Roman" w:cs="Times New Roman"/>
          <w:bCs/>
          <w:sz w:val="26"/>
          <w:szCs w:val="26"/>
          <w:lang w:eastAsia="fr-FR"/>
        </w:rPr>
        <w:t xml:space="preserve">, le tribunal administratif de Paris </w:t>
      </w:r>
      <w:r w:rsidR="00545750">
        <w:rPr>
          <w:rFonts w:ascii="Times New Roman" w:eastAsiaTheme="minorEastAsia" w:hAnsi="Times New Roman" w:cs="Times New Roman"/>
          <w:bCs/>
          <w:sz w:val="26"/>
          <w:szCs w:val="26"/>
          <w:lang w:eastAsia="fr-FR"/>
        </w:rPr>
        <w:t>a rejeté la requête de l’association « Ouvre-boîte ».</w:t>
      </w:r>
    </w:p>
    <w:p w14:paraId="0B395151" w14:textId="77777777" w:rsidR="00545750" w:rsidRDefault="00545750" w:rsidP="005624A3">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E330D5F" w14:textId="1AC9FB14" w:rsidR="00545750" w:rsidRDefault="00545750" w:rsidP="005624A3">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545750">
        <w:rPr>
          <w:rFonts w:ascii="Times New Roman" w:eastAsiaTheme="minorEastAsia" w:hAnsi="Times New Roman" w:cs="Times New Roman"/>
          <w:bCs/>
          <w:sz w:val="26"/>
          <w:szCs w:val="26"/>
          <w:lang w:eastAsia="fr-FR"/>
        </w:rPr>
        <w:lastRenderedPageBreak/>
        <w:t>Les juges du fond</w:t>
      </w:r>
      <w:r>
        <w:rPr>
          <w:rFonts w:ascii="Times New Roman" w:eastAsiaTheme="minorEastAsia" w:hAnsi="Times New Roman" w:cs="Times New Roman"/>
          <w:bCs/>
          <w:sz w:val="26"/>
          <w:szCs w:val="26"/>
          <w:lang w:eastAsia="fr-FR"/>
        </w:rPr>
        <w:t xml:space="preserve"> ont</w:t>
      </w:r>
      <w:r w:rsidR="003F4F4E">
        <w:rPr>
          <w:rFonts w:ascii="Times New Roman" w:eastAsiaTheme="minorEastAsia" w:hAnsi="Times New Roman" w:cs="Times New Roman"/>
          <w:bCs/>
          <w:sz w:val="26"/>
          <w:szCs w:val="26"/>
          <w:lang w:eastAsia="fr-FR"/>
        </w:rPr>
        <w:t xml:space="preserve"> tout d’abord</w:t>
      </w:r>
      <w:r>
        <w:rPr>
          <w:rFonts w:ascii="Times New Roman" w:eastAsiaTheme="minorEastAsia" w:hAnsi="Times New Roman" w:cs="Times New Roman"/>
          <w:bCs/>
          <w:sz w:val="26"/>
          <w:szCs w:val="26"/>
          <w:lang w:eastAsia="fr-FR"/>
        </w:rPr>
        <w:t xml:space="preserve"> pris l’exact contre-pied de la position de la CADA en considérant que </w:t>
      </w:r>
      <w:r w:rsidR="003F4F4E">
        <w:rPr>
          <w:rFonts w:ascii="Times New Roman" w:eastAsiaTheme="minorEastAsia" w:hAnsi="Times New Roman" w:cs="Times New Roman"/>
          <w:bCs/>
          <w:sz w:val="26"/>
          <w:szCs w:val="26"/>
          <w:lang w:eastAsia="fr-FR"/>
        </w:rPr>
        <w:t xml:space="preserve">l’association ne pouvait pas utilement invoquer </w:t>
      </w:r>
      <w:r>
        <w:rPr>
          <w:rFonts w:ascii="Times New Roman" w:eastAsiaTheme="minorEastAsia" w:hAnsi="Times New Roman" w:cs="Times New Roman"/>
          <w:bCs/>
          <w:sz w:val="26"/>
          <w:szCs w:val="26"/>
          <w:lang w:eastAsia="fr-FR"/>
        </w:rPr>
        <w:t xml:space="preserve">les dispositions de droit commun du livre III du </w:t>
      </w:r>
      <w:r w:rsidR="009C5436">
        <w:rPr>
          <w:rFonts w:ascii="Times New Roman" w:eastAsiaTheme="minorEastAsia" w:hAnsi="Times New Roman" w:cs="Times New Roman"/>
          <w:bCs/>
          <w:sz w:val="26"/>
          <w:szCs w:val="26"/>
          <w:lang w:eastAsia="fr-FR"/>
        </w:rPr>
        <w:t xml:space="preserve">code des relations entre le public et l’administration </w:t>
      </w:r>
      <w:r>
        <w:rPr>
          <w:rFonts w:ascii="Times New Roman" w:eastAsiaTheme="minorEastAsia" w:hAnsi="Times New Roman" w:cs="Times New Roman"/>
          <w:bCs/>
          <w:sz w:val="26"/>
          <w:szCs w:val="26"/>
          <w:lang w:eastAsia="fr-FR"/>
        </w:rPr>
        <w:t>relatives à l’accès aux documents administratifs et à la réutilisation des informations publiques</w:t>
      </w:r>
      <w:r w:rsidR="003F4F4E">
        <w:rPr>
          <w:rFonts w:ascii="Times New Roman" w:eastAsiaTheme="minorEastAsia" w:hAnsi="Times New Roman" w:cs="Times New Roman"/>
          <w:bCs/>
          <w:sz w:val="26"/>
          <w:szCs w:val="26"/>
          <w:lang w:eastAsia="fr-FR"/>
        </w:rPr>
        <w:t>, qui</w:t>
      </w:r>
      <w:r>
        <w:rPr>
          <w:rFonts w:ascii="Times New Roman" w:eastAsiaTheme="minorEastAsia" w:hAnsi="Times New Roman" w:cs="Times New Roman"/>
          <w:bCs/>
          <w:sz w:val="26"/>
          <w:szCs w:val="26"/>
          <w:lang w:eastAsia="fr-FR"/>
        </w:rPr>
        <w:t xml:space="preserve"> n’étaient pas applicables </w:t>
      </w:r>
      <w:r w:rsidR="00107CD2">
        <w:rPr>
          <w:rFonts w:ascii="Times New Roman" w:eastAsiaTheme="minorEastAsia" w:hAnsi="Times New Roman" w:cs="Times New Roman"/>
          <w:bCs/>
          <w:sz w:val="26"/>
          <w:szCs w:val="26"/>
          <w:lang w:eastAsia="fr-FR"/>
        </w:rPr>
        <w:t>en présence d’un</w:t>
      </w:r>
      <w:r w:rsidR="0047250A">
        <w:rPr>
          <w:rFonts w:ascii="Times New Roman" w:eastAsiaTheme="minorEastAsia" w:hAnsi="Times New Roman" w:cs="Times New Roman"/>
          <w:bCs/>
          <w:sz w:val="26"/>
          <w:szCs w:val="26"/>
          <w:lang w:eastAsia="fr-FR"/>
        </w:rPr>
        <w:t>e</w:t>
      </w:r>
      <w:r w:rsidR="00107CD2">
        <w:rPr>
          <w:rFonts w:ascii="Times New Roman" w:eastAsiaTheme="minorEastAsia" w:hAnsi="Times New Roman" w:cs="Times New Roman"/>
          <w:bCs/>
          <w:sz w:val="26"/>
          <w:szCs w:val="26"/>
          <w:lang w:eastAsia="fr-FR"/>
        </w:rPr>
        <w:t xml:space="preserve"> loi spéciale organisant la mise à disposition en ligne de l’annuaire national des avocats par la CNB</w:t>
      </w:r>
      <w:r w:rsidR="005B79B1">
        <w:rPr>
          <w:rStyle w:val="Appelnotedebasdep"/>
          <w:rFonts w:ascii="Times New Roman" w:eastAsiaTheme="minorEastAsia" w:hAnsi="Times New Roman" w:cs="Times New Roman"/>
          <w:bCs/>
          <w:sz w:val="26"/>
          <w:szCs w:val="26"/>
          <w:lang w:eastAsia="fr-FR"/>
        </w:rPr>
        <w:footnoteReference w:id="5"/>
      </w:r>
      <w:r w:rsidR="00107CD2">
        <w:rPr>
          <w:rFonts w:ascii="Times New Roman" w:eastAsiaTheme="minorEastAsia" w:hAnsi="Times New Roman" w:cs="Times New Roman"/>
          <w:bCs/>
          <w:sz w:val="26"/>
          <w:szCs w:val="26"/>
          <w:lang w:eastAsia="fr-FR"/>
        </w:rPr>
        <w:t xml:space="preserve"> :</w:t>
      </w:r>
    </w:p>
    <w:p w14:paraId="744B3D0C" w14:textId="122A97EA" w:rsidR="00107CD2" w:rsidRPr="003F4F4E" w:rsidRDefault="00107CD2" w:rsidP="003F4F4E">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3F4F4E">
        <w:rPr>
          <w:rFonts w:ascii="Times New Roman" w:eastAsiaTheme="minorEastAsia" w:hAnsi="Times New Roman" w:cs="Times New Roman"/>
          <w:bCs/>
          <w:sz w:val="24"/>
          <w:szCs w:val="24"/>
          <w:lang w:eastAsia="fr-FR"/>
        </w:rPr>
        <w:t xml:space="preserve">« Il résulte des dispositions de la loi du 31 décembre 1971, notamment des dispositions du deuxième alinéa de l’article 21-1 de cette loi, éclairées par les travaux préparatoires de la loi du 18 novembre 2016 dont elles sont issues, et du décret du 27 novembre 1991, que le législateur a entendu régir par des dispositions particulières le droit d’accès à l’annuaire national des avocats, personnes physiques, élaboré par le CNB sur la base des informations transmises et mises à jour par les ordres. Ces dispositions spéciales, qui organisent l’accès du public à des informations relatives à une profession réglementée, doivent être regardées comme ayant entendu déroger aux dispositions du </w:t>
      </w:r>
      <w:r w:rsidR="009C5436">
        <w:rPr>
          <w:rFonts w:ascii="Times New Roman" w:eastAsiaTheme="minorEastAsia" w:hAnsi="Times New Roman" w:cs="Times New Roman"/>
          <w:bCs/>
          <w:sz w:val="24"/>
          <w:szCs w:val="24"/>
          <w:lang w:eastAsia="fr-FR"/>
        </w:rPr>
        <w:t>code des relations entre le public et l’administration</w:t>
      </w:r>
      <w:r w:rsidR="003F4F4E" w:rsidRPr="003F4F4E">
        <w:rPr>
          <w:rFonts w:ascii="Times New Roman" w:eastAsiaTheme="minorEastAsia" w:hAnsi="Times New Roman" w:cs="Times New Roman"/>
          <w:bCs/>
          <w:sz w:val="24"/>
          <w:szCs w:val="24"/>
          <w:lang w:eastAsia="fr-FR"/>
        </w:rPr>
        <w:t xml:space="preserve"> qui consacrent un droit d’accès général aux documents administratifs. Par suite, les moyens tirés de la méconnaissance des dispositions des articles L. 300-2 L. 311-1, L. 300-4 et L. 312-1-1 du </w:t>
      </w:r>
      <w:r w:rsidR="009C5436">
        <w:rPr>
          <w:rFonts w:ascii="Times New Roman" w:eastAsiaTheme="minorEastAsia" w:hAnsi="Times New Roman" w:cs="Times New Roman"/>
          <w:bCs/>
          <w:sz w:val="24"/>
          <w:szCs w:val="24"/>
          <w:lang w:eastAsia="fr-FR"/>
        </w:rPr>
        <w:t>code des relations entre le public et l’administration</w:t>
      </w:r>
      <w:r w:rsidR="003F4F4E" w:rsidRPr="003F4F4E">
        <w:rPr>
          <w:rFonts w:ascii="Times New Roman" w:eastAsiaTheme="minorEastAsia" w:hAnsi="Times New Roman" w:cs="Times New Roman"/>
          <w:bCs/>
          <w:sz w:val="24"/>
          <w:szCs w:val="24"/>
          <w:lang w:eastAsia="fr-FR"/>
        </w:rPr>
        <w:t xml:space="preserve"> peuvent être écartés » (point 4).</w:t>
      </w:r>
    </w:p>
    <w:p w14:paraId="5DC40A8F" w14:textId="560E34E2" w:rsidR="003F4F4E" w:rsidRDefault="003F4F4E" w:rsidP="003F4F4E">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Ils ont ensuite écarté l’autre fondement juridique invoqué par l’association à l’appui de sa demande :</w:t>
      </w:r>
    </w:p>
    <w:p w14:paraId="3F8AD307" w14:textId="3BE00D47" w:rsidR="00C45E14" w:rsidRPr="0047250A" w:rsidRDefault="003F4F4E" w:rsidP="0047250A">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47250A">
        <w:rPr>
          <w:rFonts w:ascii="Times New Roman" w:eastAsiaTheme="minorEastAsia" w:hAnsi="Times New Roman" w:cs="Times New Roman"/>
          <w:bCs/>
          <w:sz w:val="24"/>
          <w:szCs w:val="24"/>
          <w:lang w:eastAsia="fr-FR"/>
        </w:rPr>
        <w:t>« L’association requérante soutient qu’en application [des] dispositions législatives [de l’article 3 de la loi du 18 novembre 2016 de modernisation de la justice du XXIème siècle], le CNB avait l’obligation de publier en ligne l’annuaire national des avocats dans un format ouvert et réutilisable. Toutefois, ces dispositions, éclairées par les travaux parlementaires et notamment par le rapport n° 839 du 21 septembre 2016 fait au nom de la commission des lois du Sénat, n’ont pas pour objet de mettre à la charge du CNB une telle obligation. En outre, ainsi qu’il a été dit [précédemment] l’obligation de publication en ligne d’un annuaire national des avocats, qui incombe au CNB, est régie par les dispositions législatives spéciales de la loi du 31 décembre 1971</w:t>
      </w:r>
      <w:r w:rsidR="0047250A" w:rsidRPr="0047250A">
        <w:rPr>
          <w:rFonts w:ascii="Times New Roman" w:eastAsiaTheme="minorEastAsia" w:hAnsi="Times New Roman" w:cs="Times New Roman"/>
          <w:bCs/>
          <w:sz w:val="24"/>
          <w:szCs w:val="24"/>
          <w:lang w:eastAsia="fr-FR"/>
        </w:rPr>
        <w:t>. Ce moyen peut donc, en tout état de cause, être écarté » (point 6).</w:t>
      </w:r>
    </w:p>
    <w:p w14:paraId="49FBB8D0" w14:textId="77777777" w:rsidR="0047250A" w:rsidRDefault="0047250A" w:rsidP="0047250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645D0DF4" w14:textId="1603B802" w:rsidR="0047250A" w:rsidRDefault="0047250A" w:rsidP="0047250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 xml:space="preserve">Le tribunal a enfin considéré, rejoignant cette fois l’avis de la CADA, que la demande de communication de la liste des personnes morales exerçant la profession d’avocat </w:t>
      </w:r>
      <w:r w:rsidR="00C81E99">
        <w:rPr>
          <w:rFonts w:ascii="Times New Roman" w:eastAsiaTheme="minorEastAsia" w:hAnsi="Times New Roman" w:cs="Times New Roman"/>
          <w:bCs/>
          <w:sz w:val="26"/>
          <w:szCs w:val="26"/>
          <w:lang w:eastAsia="fr-FR"/>
        </w:rPr>
        <w:t xml:space="preserve">ne pouvait être accueillie sur le fondement des dispositions de droit commun du </w:t>
      </w:r>
      <w:r w:rsidR="009C5436">
        <w:rPr>
          <w:rFonts w:ascii="Times New Roman" w:eastAsiaTheme="minorEastAsia" w:hAnsi="Times New Roman" w:cs="Times New Roman"/>
          <w:bCs/>
          <w:sz w:val="26"/>
          <w:szCs w:val="26"/>
          <w:lang w:eastAsia="fr-FR"/>
        </w:rPr>
        <w:t xml:space="preserve">code des relations entre le public et l’administration </w:t>
      </w:r>
      <w:r w:rsidR="00C81E99">
        <w:rPr>
          <w:rFonts w:ascii="Times New Roman" w:eastAsiaTheme="minorEastAsia" w:hAnsi="Times New Roman" w:cs="Times New Roman"/>
          <w:bCs/>
          <w:sz w:val="26"/>
          <w:szCs w:val="26"/>
          <w:lang w:eastAsia="fr-FR"/>
        </w:rPr>
        <w:t>dès lors que cette liste</w:t>
      </w:r>
      <w:r>
        <w:rPr>
          <w:rFonts w:ascii="Times New Roman" w:eastAsiaTheme="minorEastAsia" w:hAnsi="Times New Roman" w:cs="Times New Roman"/>
          <w:bCs/>
          <w:sz w:val="26"/>
          <w:szCs w:val="26"/>
          <w:lang w:eastAsia="fr-FR"/>
        </w:rPr>
        <w:t xml:space="preserve"> n’existait pas </w:t>
      </w:r>
      <w:r w:rsidR="00C81E99">
        <w:rPr>
          <w:rFonts w:ascii="Times New Roman" w:eastAsiaTheme="minorEastAsia" w:hAnsi="Times New Roman" w:cs="Times New Roman"/>
          <w:bCs/>
          <w:sz w:val="26"/>
          <w:szCs w:val="26"/>
          <w:lang w:eastAsia="fr-FR"/>
        </w:rPr>
        <w:t xml:space="preserve">et ne pouvait être reconstituée en l’état </w:t>
      </w:r>
      <w:r>
        <w:rPr>
          <w:rFonts w:ascii="Times New Roman" w:eastAsiaTheme="minorEastAsia" w:hAnsi="Times New Roman" w:cs="Times New Roman"/>
          <w:bCs/>
          <w:sz w:val="26"/>
          <w:szCs w:val="26"/>
          <w:lang w:eastAsia="fr-FR"/>
        </w:rPr>
        <w:t>:</w:t>
      </w:r>
    </w:p>
    <w:p w14:paraId="14C19401" w14:textId="434BA238" w:rsidR="0047250A" w:rsidRPr="0047250A" w:rsidRDefault="0047250A" w:rsidP="0047250A">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47250A">
        <w:rPr>
          <w:rFonts w:ascii="Times New Roman" w:eastAsiaTheme="minorEastAsia" w:hAnsi="Times New Roman" w:cs="Times New Roman"/>
          <w:bCs/>
          <w:sz w:val="24"/>
          <w:szCs w:val="24"/>
          <w:lang w:eastAsia="fr-FR"/>
        </w:rPr>
        <w:t xml:space="preserve">« le CNB soutient, sans être sérieusement contredit, que la liste des personnes morales demandées par l’association requérant n’existe pas. A cet égard, il ressort des dispositions de l’article 21-1 de la loi du 31 décembre 1971 que seule la liste des avocats, personnes physiques, inscrits au barreau est communiquée par chaque ordre au CNB en vue de la constitution de l’annuaire. Dans ces conditions, dès lors que le CNB ne dispose pas d’une liste au niveau national de l’ensemble des personnes morales exerçant la profession d’avocat, et qu’il n’est pas établi que la liste demandée pourrait être obtenue par un traitement automatisé d’usage courant, les moyens tirés de la méconnaissance des articles L. 311-1, L. 300-4 et L. 312-1-1 du </w:t>
      </w:r>
      <w:r w:rsidR="009C5436">
        <w:rPr>
          <w:rFonts w:ascii="Times New Roman" w:eastAsiaTheme="minorEastAsia" w:hAnsi="Times New Roman" w:cs="Times New Roman"/>
          <w:bCs/>
          <w:sz w:val="24"/>
          <w:szCs w:val="24"/>
          <w:lang w:eastAsia="fr-FR"/>
        </w:rPr>
        <w:t>code des relations entre le public et l’administration</w:t>
      </w:r>
      <w:r w:rsidRPr="0047250A">
        <w:rPr>
          <w:rFonts w:ascii="Times New Roman" w:eastAsiaTheme="minorEastAsia" w:hAnsi="Times New Roman" w:cs="Times New Roman"/>
          <w:bCs/>
          <w:sz w:val="24"/>
          <w:szCs w:val="24"/>
          <w:lang w:eastAsia="fr-FR"/>
        </w:rPr>
        <w:t xml:space="preserve"> peuvent être écartés » (point 9). </w:t>
      </w:r>
    </w:p>
    <w:p w14:paraId="090BC298" w14:textId="7EEFD29A" w:rsidR="0047250A" w:rsidRDefault="0047250A" w:rsidP="0047250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L’association « Ouvre-boîte » se pourvoit aujourd’hui en cassation devant le Conseil d’Etat contre ce jugement rendu en premier et dernier ressort</w:t>
      </w:r>
      <w:r>
        <w:rPr>
          <w:rStyle w:val="Appelnotedebasdep"/>
          <w:rFonts w:ascii="Times New Roman" w:eastAsiaTheme="minorEastAsia" w:hAnsi="Times New Roman" w:cs="Times New Roman"/>
          <w:bCs/>
          <w:sz w:val="26"/>
          <w:szCs w:val="26"/>
          <w:lang w:eastAsia="fr-FR"/>
        </w:rPr>
        <w:footnoteReference w:id="6"/>
      </w:r>
      <w:r>
        <w:rPr>
          <w:rFonts w:ascii="Times New Roman" w:eastAsiaTheme="minorEastAsia" w:hAnsi="Times New Roman" w:cs="Times New Roman"/>
          <w:bCs/>
          <w:sz w:val="26"/>
          <w:szCs w:val="26"/>
          <w:lang w:eastAsia="fr-FR"/>
        </w:rPr>
        <w:t>.</w:t>
      </w:r>
    </w:p>
    <w:p w14:paraId="516F669D" w14:textId="17EF002A" w:rsidR="0047250A" w:rsidRDefault="0047250A" w:rsidP="0047250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6E6137D" w14:textId="77777777" w:rsidR="003008D2" w:rsidRDefault="003008D2" w:rsidP="0047250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87380B3" w14:textId="60ED420C" w:rsidR="00C45E14" w:rsidRPr="004549D4" w:rsidRDefault="00C45E14" w:rsidP="00C45E14">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sidRPr="004549D4">
        <w:rPr>
          <w:rFonts w:ascii="Times New Roman" w:eastAsiaTheme="minorEastAsia" w:hAnsi="Times New Roman" w:cs="Times New Roman"/>
          <w:bCs/>
          <w:sz w:val="26"/>
          <w:szCs w:val="26"/>
          <w:lang w:eastAsia="fr-FR"/>
        </w:rPr>
        <w:t>*</w:t>
      </w:r>
    </w:p>
    <w:p w14:paraId="721D091F" w14:textId="77777777" w:rsidR="00C45E14" w:rsidRDefault="00C45E14" w:rsidP="00C45E14">
      <w:pPr>
        <w:rPr>
          <w:rFonts w:ascii="Times New Roman" w:eastAsiaTheme="minorEastAsia" w:hAnsi="Times New Roman" w:cs="Times New Roman"/>
          <w:b/>
          <w:sz w:val="26"/>
          <w:szCs w:val="26"/>
          <w:u w:val="single"/>
          <w:lang w:eastAsia="fr-FR"/>
        </w:rPr>
      </w:pPr>
    </w:p>
    <w:p w14:paraId="5EF3F002" w14:textId="77777777" w:rsidR="00C45E14" w:rsidRDefault="00C45E14" w:rsidP="00C45E14">
      <w:pPr>
        <w:rPr>
          <w:rFonts w:ascii="Times New Roman" w:eastAsiaTheme="minorEastAsia" w:hAnsi="Times New Roman" w:cs="Times New Roman"/>
          <w:b/>
          <w:sz w:val="26"/>
          <w:szCs w:val="26"/>
          <w:u w:val="single"/>
          <w:lang w:eastAsia="fr-FR"/>
        </w:rPr>
      </w:pPr>
      <w:r>
        <w:rPr>
          <w:rFonts w:ascii="Times New Roman" w:eastAsiaTheme="minorEastAsia" w:hAnsi="Times New Roman" w:cs="Times New Roman"/>
          <w:b/>
          <w:sz w:val="26"/>
          <w:szCs w:val="26"/>
          <w:u w:val="single"/>
          <w:lang w:eastAsia="fr-FR"/>
        </w:rPr>
        <w:br w:type="page"/>
      </w:r>
    </w:p>
    <w:p w14:paraId="040614FE" w14:textId="6E993078" w:rsidR="00B6133A" w:rsidRPr="00B6133A" w:rsidRDefault="00B6133A" w:rsidP="00B042D8">
      <w:pPr>
        <w:tabs>
          <w:tab w:val="left" w:pos="1701"/>
        </w:tabs>
        <w:spacing w:before="60" w:after="60" w:line="240" w:lineRule="auto"/>
        <w:ind w:left="567" w:right="6"/>
        <w:jc w:val="center"/>
        <w:rPr>
          <w:rFonts w:ascii="Times New Roman" w:eastAsiaTheme="minorEastAsia" w:hAnsi="Times New Roman" w:cs="Times New Roman"/>
          <w:b/>
          <w:sz w:val="26"/>
          <w:szCs w:val="26"/>
          <w:lang w:eastAsia="fr-FR"/>
        </w:rPr>
      </w:pPr>
      <w:r>
        <w:rPr>
          <w:rFonts w:ascii="Times New Roman" w:eastAsiaTheme="minorEastAsia" w:hAnsi="Times New Roman" w:cs="Times New Roman"/>
          <w:b/>
          <w:sz w:val="26"/>
          <w:szCs w:val="26"/>
          <w:lang w:eastAsia="fr-FR"/>
        </w:rPr>
        <w:lastRenderedPageBreak/>
        <w:t xml:space="preserve">- </w:t>
      </w:r>
      <w:r>
        <w:rPr>
          <w:rFonts w:ascii="Times New Roman" w:eastAsiaTheme="minorEastAsia" w:hAnsi="Times New Roman" w:cs="Times New Roman"/>
          <w:b/>
          <w:sz w:val="26"/>
          <w:szCs w:val="26"/>
          <w:u w:val="single"/>
          <w:lang w:eastAsia="fr-FR"/>
        </w:rPr>
        <w:t>DISCUSSION</w:t>
      </w:r>
      <w:r>
        <w:rPr>
          <w:rFonts w:ascii="Times New Roman" w:eastAsiaTheme="minorEastAsia" w:hAnsi="Times New Roman" w:cs="Times New Roman"/>
          <w:b/>
          <w:sz w:val="26"/>
          <w:szCs w:val="26"/>
          <w:lang w:eastAsia="fr-FR"/>
        </w:rPr>
        <w:t xml:space="preserve"> -</w:t>
      </w:r>
    </w:p>
    <w:p w14:paraId="15F0EF9E" w14:textId="11839D1D" w:rsidR="00B6133A" w:rsidRDefault="00B6133A" w:rsidP="00B042D8">
      <w:pPr>
        <w:tabs>
          <w:tab w:val="left" w:pos="1701"/>
        </w:tabs>
        <w:spacing w:before="60" w:after="60" w:line="240" w:lineRule="auto"/>
        <w:ind w:left="567" w:right="6"/>
        <w:jc w:val="both"/>
        <w:rPr>
          <w:rFonts w:ascii="Times New Roman" w:eastAsiaTheme="minorEastAsia" w:hAnsi="Times New Roman" w:cs="Times New Roman"/>
          <w:b/>
          <w:sz w:val="26"/>
          <w:szCs w:val="26"/>
          <w:u w:val="single"/>
          <w:lang w:eastAsia="fr-FR"/>
        </w:rPr>
      </w:pPr>
    </w:p>
    <w:p w14:paraId="012F0E0C" w14:textId="77777777" w:rsidR="00B6133A" w:rsidRDefault="00B6133A" w:rsidP="00B042D8">
      <w:pPr>
        <w:tabs>
          <w:tab w:val="left" w:pos="1701"/>
        </w:tabs>
        <w:spacing w:before="60" w:after="60" w:line="240" w:lineRule="auto"/>
        <w:ind w:left="567" w:right="6"/>
        <w:jc w:val="both"/>
        <w:rPr>
          <w:rFonts w:ascii="Times New Roman" w:eastAsiaTheme="minorEastAsia" w:hAnsi="Times New Roman" w:cs="Times New Roman"/>
          <w:b/>
          <w:sz w:val="26"/>
          <w:szCs w:val="26"/>
          <w:u w:val="single"/>
          <w:lang w:eastAsia="fr-FR"/>
        </w:rPr>
      </w:pPr>
    </w:p>
    <w:p w14:paraId="6D19895C" w14:textId="6E288372" w:rsidR="00B6133A" w:rsidRDefault="00B6133A" w:rsidP="00B042D8">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B6133A">
        <w:rPr>
          <w:rFonts w:ascii="Times New Roman" w:eastAsiaTheme="minorEastAsia" w:hAnsi="Times New Roman" w:cs="Times New Roman"/>
          <w:b/>
          <w:sz w:val="26"/>
          <w:szCs w:val="26"/>
          <w:lang w:eastAsia="fr-FR"/>
        </w:rPr>
        <w:t>7.</w:t>
      </w:r>
      <w:r>
        <w:rPr>
          <w:rFonts w:ascii="Times New Roman" w:eastAsiaTheme="minorEastAsia" w:hAnsi="Times New Roman" w:cs="Times New Roman"/>
          <w:bCs/>
          <w:sz w:val="26"/>
          <w:szCs w:val="26"/>
          <w:lang w:eastAsia="fr-FR"/>
        </w:rPr>
        <w:t xml:space="preserve"> Devant les premiers juges, l’association « Ouvre-boîte » fondait ses conclusions tendant à la communication des documents demandés au CNB - </w:t>
      </w:r>
      <w:r w:rsidR="008C3B51">
        <w:rPr>
          <w:rFonts w:ascii="Times New Roman" w:eastAsiaTheme="minorEastAsia" w:hAnsi="Times New Roman" w:cs="Times New Roman"/>
          <w:bCs/>
          <w:sz w:val="26"/>
          <w:szCs w:val="26"/>
          <w:lang w:eastAsia="fr-FR"/>
        </w:rPr>
        <w:t xml:space="preserve">la publication en ligne de </w:t>
      </w:r>
      <w:r>
        <w:rPr>
          <w:rFonts w:ascii="Times New Roman" w:eastAsiaTheme="minorEastAsia" w:hAnsi="Times New Roman" w:cs="Times New Roman"/>
          <w:bCs/>
          <w:sz w:val="26"/>
          <w:szCs w:val="26"/>
          <w:lang w:eastAsia="fr-FR"/>
        </w:rPr>
        <w:t>l’annuaire professionnel et</w:t>
      </w:r>
      <w:r w:rsidR="008C3B51">
        <w:rPr>
          <w:rFonts w:ascii="Times New Roman" w:eastAsiaTheme="minorEastAsia" w:hAnsi="Times New Roman" w:cs="Times New Roman"/>
          <w:bCs/>
          <w:sz w:val="26"/>
          <w:szCs w:val="26"/>
          <w:lang w:eastAsia="fr-FR"/>
        </w:rPr>
        <w:t xml:space="preserve"> de</w:t>
      </w:r>
      <w:r>
        <w:rPr>
          <w:rFonts w:ascii="Times New Roman" w:eastAsiaTheme="minorEastAsia" w:hAnsi="Times New Roman" w:cs="Times New Roman"/>
          <w:bCs/>
          <w:sz w:val="26"/>
          <w:szCs w:val="26"/>
          <w:lang w:eastAsia="fr-FR"/>
        </w:rPr>
        <w:t xml:space="preserve"> la liste des personnes morales exerçant la profession d’avocat - d’abord sur les dispositions de l’article 3 de la loi n° 2016-1547 du 18 novembre 2016 de modernisation de la justice du XXIème siècle (p. 11 de la demande introductive d’instance) puis sur celles des articles L. 300-2, l. 300-4, L. 311-1 et L. 312-1-1 du </w:t>
      </w:r>
      <w:r w:rsidR="009C5436">
        <w:rPr>
          <w:rFonts w:ascii="Times New Roman" w:eastAsiaTheme="minorEastAsia" w:hAnsi="Times New Roman" w:cs="Times New Roman"/>
          <w:bCs/>
          <w:sz w:val="26"/>
          <w:szCs w:val="26"/>
          <w:lang w:eastAsia="fr-FR"/>
        </w:rPr>
        <w:t>code des relations entre le public et l’administration</w:t>
      </w:r>
      <w:r>
        <w:rPr>
          <w:rFonts w:ascii="Times New Roman" w:eastAsiaTheme="minorEastAsia" w:hAnsi="Times New Roman" w:cs="Times New Roman"/>
          <w:bCs/>
          <w:sz w:val="26"/>
          <w:szCs w:val="26"/>
          <w:lang w:eastAsia="fr-FR"/>
        </w:rPr>
        <w:t xml:space="preserve"> (p. 14 de la demande introductive d’instance).</w:t>
      </w:r>
    </w:p>
    <w:p w14:paraId="588275B5" w14:textId="60459548" w:rsidR="008C3B51" w:rsidRDefault="008C3B51" w:rsidP="00B042D8">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8C3B51">
        <w:rPr>
          <w:rFonts w:ascii="Times New Roman" w:eastAsiaTheme="minorEastAsia" w:hAnsi="Times New Roman" w:cs="Times New Roman"/>
          <w:bCs/>
          <w:sz w:val="26"/>
          <w:szCs w:val="26"/>
          <w:lang w:eastAsia="fr-FR"/>
        </w:rPr>
        <w:t>Inversant l’ordre logique</w:t>
      </w:r>
      <w:r>
        <w:rPr>
          <w:rFonts w:ascii="Times New Roman" w:eastAsiaTheme="minorEastAsia" w:hAnsi="Times New Roman" w:cs="Times New Roman"/>
          <w:bCs/>
          <w:sz w:val="26"/>
          <w:szCs w:val="26"/>
          <w:lang w:eastAsia="fr-FR"/>
        </w:rPr>
        <w:t xml:space="preserve"> d’examen de ces deux fondements juridiques - du spécial au général</w:t>
      </w:r>
      <w:r w:rsidR="00143DB5">
        <w:rPr>
          <w:rFonts w:ascii="Times New Roman" w:eastAsiaTheme="minorEastAsia" w:hAnsi="Times New Roman" w:cs="Times New Roman"/>
          <w:bCs/>
          <w:sz w:val="26"/>
          <w:szCs w:val="26"/>
          <w:lang w:eastAsia="fr-FR"/>
        </w:rPr>
        <w:t>, comme exposé à l’appui de la requête</w:t>
      </w:r>
      <w:r>
        <w:rPr>
          <w:rFonts w:ascii="Times New Roman" w:eastAsiaTheme="minorEastAsia" w:hAnsi="Times New Roman" w:cs="Times New Roman"/>
          <w:bCs/>
          <w:sz w:val="26"/>
          <w:szCs w:val="26"/>
          <w:lang w:eastAsia="fr-FR"/>
        </w:rPr>
        <w:t xml:space="preserve"> -, le tribunal administratif de Paris a considéré</w:t>
      </w:r>
      <w:r w:rsidRPr="008C3B51">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que :</w:t>
      </w:r>
    </w:p>
    <w:p w14:paraId="01637490" w14:textId="12C0D74C" w:rsidR="008C3B51" w:rsidRDefault="008C3B51" w:rsidP="00B042D8">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 les dispositions de droit commun du </w:t>
      </w:r>
      <w:r w:rsidR="009C5436">
        <w:rPr>
          <w:rFonts w:ascii="Times New Roman" w:eastAsiaTheme="minorEastAsia" w:hAnsi="Times New Roman" w:cs="Times New Roman"/>
          <w:bCs/>
          <w:sz w:val="26"/>
          <w:szCs w:val="26"/>
          <w:lang w:eastAsia="fr-FR"/>
        </w:rPr>
        <w:t>code des relations entre le public et l’administration</w:t>
      </w:r>
      <w:r>
        <w:rPr>
          <w:rFonts w:ascii="Times New Roman" w:eastAsiaTheme="minorEastAsia" w:hAnsi="Times New Roman" w:cs="Times New Roman"/>
          <w:bCs/>
          <w:sz w:val="26"/>
          <w:szCs w:val="26"/>
          <w:lang w:eastAsia="fr-FR"/>
        </w:rPr>
        <w:t xml:space="preserve"> n’étaient pas applicables à la publication en ligne de l’annuaire professionnel dont les conditions et modalités étaient entièrement régies par les dispositions spéciales du deuxième alinéa de l’article 21-1 de la loi du </w:t>
      </w:r>
      <w:r w:rsidR="006D73EF">
        <w:rPr>
          <w:rFonts w:ascii="Times New Roman" w:eastAsiaTheme="minorEastAsia" w:hAnsi="Times New Roman" w:cs="Times New Roman"/>
          <w:bCs/>
          <w:sz w:val="26"/>
          <w:szCs w:val="26"/>
          <w:lang w:eastAsia="fr-FR"/>
        </w:rPr>
        <w:t xml:space="preserve">31 décembre 1971 </w:t>
      </w:r>
      <w:r w:rsidR="003008D2">
        <w:rPr>
          <w:rFonts w:ascii="Times New Roman" w:eastAsiaTheme="minorEastAsia" w:hAnsi="Times New Roman" w:cs="Times New Roman"/>
          <w:bCs/>
          <w:sz w:val="26"/>
          <w:szCs w:val="26"/>
          <w:lang w:eastAsia="fr-FR"/>
        </w:rPr>
        <w:t xml:space="preserve">modifiée, </w:t>
      </w:r>
      <w:r w:rsidR="006D73EF">
        <w:rPr>
          <w:rFonts w:ascii="Times New Roman" w:eastAsiaTheme="minorEastAsia" w:hAnsi="Times New Roman" w:cs="Times New Roman"/>
          <w:bCs/>
          <w:sz w:val="26"/>
          <w:szCs w:val="26"/>
          <w:lang w:eastAsia="fr-FR"/>
        </w:rPr>
        <w:t>dans leur rédaction issue de l’article 22 de la loi du 18 novembre 2016</w:t>
      </w:r>
      <w:r w:rsidR="003008D2">
        <w:rPr>
          <w:rFonts w:ascii="Times New Roman" w:eastAsiaTheme="minorEastAsia" w:hAnsi="Times New Roman" w:cs="Times New Roman"/>
          <w:bCs/>
          <w:sz w:val="26"/>
          <w:szCs w:val="26"/>
          <w:lang w:eastAsia="fr-FR"/>
        </w:rPr>
        <w:t>, selon lesquelles : « sur la base des informations communiquées par les conseils de l’ordre (…) le CNB établit, met à jour et met à disposition en ligne un annuaire national des avocats inscrits au tableau d’un barreau »</w:t>
      </w:r>
      <w:r w:rsidR="006D73EF">
        <w:rPr>
          <w:rFonts w:ascii="Times New Roman" w:eastAsiaTheme="minorEastAsia" w:hAnsi="Times New Roman" w:cs="Times New Roman"/>
          <w:bCs/>
          <w:sz w:val="26"/>
          <w:szCs w:val="26"/>
          <w:lang w:eastAsia="fr-FR"/>
        </w:rPr>
        <w:t xml:space="preserve"> (point 4 du jugement attaqué)</w:t>
      </w:r>
      <w:r>
        <w:rPr>
          <w:rFonts w:ascii="Times New Roman" w:eastAsiaTheme="minorEastAsia" w:hAnsi="Times New Roman" w:cs="Times New Roman"/>
          <w:bCs/>
          <w:sz w:val="26"/>
          <w:szCs w:val="26"/>
          <w:lang w:eastAsia="fr-FR"/>
        </w:rPr>
        <w:t> ;</w:t>
      </w:r>
    </w:p>
    <w:p w14:paraId="0A4401E4" w14:textId="2B250252" w:rsidR="008C3B51" w:rsidRDefault="008C3B51" w:rsidP="00B042D8">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les dispositions de l’article 3 de la loi du 18 novembre 2016, éclairées par les travaux préparatoires, n’avaient pas pour objet d’obliger le CNB à publier en ligne</w:t>
      </w:r>
      <w:r w:rsidRPr="008C3B51">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 xml:space="preserve">l’annuaire professionnel dans un format ouvert et exploitable, alors qu’au surplus, les conditions et modalités de cette publication étaient entièrement régies par </w:t>
      </w:r>
      <w:r w:rsidR="002D4ABC">
        <w:rPr>
          <w:rFonts w:ascii="Times New Roman" w:eastAsiaTheme="minorEastAsia" w:hAnsi="Times New Roman" w:cs="Times New Roman"/>
          <w:bCs/>
          <w:sz w:val="26"/>
          <w:szCs w:val="26"/>
          <w:lang w:eastAsia="fr-FR"/>
        </w:rPr>
        <w:t xml:space="preserve">l’article 21-1 </w:t>
      </w:r>
      <w:r w:rsidR="006D73EF">
        <w:rPr>
          <w:rFonts w:ascii="Times New Roman" w:eastAsiaTheme="minorEastAsia" w:hAnsi="Times New Roman" w:cs="Times New Roman"/>
          <w:bCs/>
          <w:sz w:val="26"/>
          <w:szCs w:val="26"/>
          <w:lang w:eastAsia="fr-FR"/>
        </w:rPr>
        <w:t>de la loi du 31 décembre 1971 (point 6 du jugement attaqué)</w:t>
      </w:r>
      <w:r w:rsidR="002D4ABC">
        <w:rPr>
          <w:rFonts w:ascii="Times New Roman" w:eastAsiaTheme="minorEastAsia" w:hAnsi="Times New Roman" w:cs="Times New Roman"/>
          <w:bCs/>
          <w:sz w:val="26"/>
          <w:szCs w:val="26"/>
          <w:lang w:eastAsia="fr-FR"/>
        </w:rPr>
        <w:t> ;</w:t>
      </w:r>
    </w:p>
    <w:p w14:paraId="50CF27E2" w14:textId="57AE4423" w:rsidR="002D4ABC" w:rsidRDefault="002D4ABC" w:rsidP="00B042D8">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la liste des personnes morales exerçant la profession d’avocat n’existait pas et ne pouvait être obtenue par un traitement automatisé d’usage courant</w:t>
      </w:r>
      <w:r w:rsidR="006D73EF">
        <w:rPr>
          <w:rFonts w:ascii="Times New Roman" w:eastAsiaTheme="minorEastAsia" w:hAnsi="Times New Roman" w:cs="Times New Roman"/>
          <w:bCs/>
          <w:sz w:val="26"/>
          <w:szCs w:val="26"/>
          <w:lang w:eastAsia="fr-FR"/>
        </w:rPr>
        <w:t xml:space="preserve"> (point 9 du jugement attaqué)</w:t>
      </w:r>
      <w:r>
        <w:rPr>
          <w:rFonts w:ascii="Times New Roman" w:eastAsiaTheme="minorEastAsia" w:hAnsi="Times New Roman" w:cs="Times New Roman"/>
          <w:bCs/>
          <w:sz w:val="26"/>
          <w:szCs w:val="26"/>
          <w:lang w:eastAsia="fr-FR"/>
        </w:rPr>
        <w:t>.</w:t>
      </w:r>
    </w:p>
    <w:p w14:paraId="0380F638" w14:textId="77777777" w:rsidR="003008D2" w:rsidRDefault="003008D2" w:rsidP="00B042D8">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p>
    <w:p w14:paraId="2885D03E" w14:textId="7A5B2E35" w:rsidR="002A7D70" w:rsidRDefault="002D4ABC"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2D4ABC">
        <w:rPr>
          <w:rFonts w:ascii="Times New Roman" w:eastAsiaTheme="minorEastAsia" w:hAnsi="Times New Roman" w:cs="Times New Roman"/>
          <w:b/>
          <w:sz w:val="26"/>
          <w:szCs w:val="26"/>
          <w:lang w:eastAsia="fr-FR"/>
        </w:rPr>
        <w:t xml:space="preserve">8. </w:t>
      </w:r>
      <w:r w:rsidR="002A7D70" w:rsidRPr="002A7D70">
        <w:rPr>
          <w:rFonts w:ascii="Times New Roman" w:eastAsiaTheme="minorEastAsia" w:hAnsi="Times New Roman" w:cs="Times New Roman"/>
          <w:bCs/>
          <w:sz w:val="26"/>
          <w:szCs w:val="26"/>
          <w:lang w:eastAsia="fr-FR"/>
        </w:rPr>
        <w:t>L</w:t>
      </w:r>
      <w:r w:rsidRPr="002A7D70">
        <w:rPr>
          <w:rFonts w:ascii="Times New Roman" w:eastAsiaTheme="minorEastAsia" w:hAnsi="Times New Roman" w:cs="Times New Roman"/>
          <w:bCs/>
          <w:sz w:val="26"/>
          <w:szCs w:val="26"/>
          <w:lang w:eastAsia="fr-FR"/>
        </w:rPr>
        <w:t>a</w:t>
      </w:r>
      <w:r>
        <w:rPr>
          <w:rFonts w:ascii="Times New Roman" w:eastAsiaTheme="minorEastAsia" w:hAnsi="Times New Roman" w:cs="Times New Roman"/>
          <w:bCs/>
          <w:sz w:val="26"/>
          <w:szCs w:val="26"/>
          <w:lang w:eastAsia="fr-FR"/>
        </w:rPr>
        <w:t xml:space="preserve"> base du raisonnement du tribunal est</w:t>
      </w:r>
      <w:r w:rsidR="00143DB5">
        <w:rPr>
          <w:rFonts w:ascii="Times New Roman" w:eastAsiaTheme="minorEastAsia" w:hAnsi="Times New Roman" w:cs="Times New Roman"/>
          <w:bCs/>
          <w:sz w:val="26"/>
          <w:szCs w:val="26"/>
          <w:lang w:eastAsia="fr-FR"/>
        </w:rPr>
        <w:t xml:space="preserve"> ainsi </w:t>
      </w:r>
      <w:r>
        <w:rPr>
          <w:rFonts w:ascii="Times New Roman" w:eastAsiaTheme="minorEastAsia" w:hAnsi="Times New Roman" w:cs="Times New Roman"/>
          <w:bCs/>
          <w:sz w:val="26"/>
          <w:szCs w:val="26"/>
          <w:lang w:eastAsia="fr-FR"/>
        </w:rPr>
        <w:t xml:space="preserve">fondée sur le principe selon lequel les lois spéciales </w:t>
      </w:r>
      <w:r w:rsidR="00D3138D">
        <w:rPr>
          <w:rFonts w:ascii="Times New Roman" w:eastAsiaTheme="minorEastAsia" w:hAnsi="Times New Roman" w:cs="Times New Roman"/>
          <w:bCs/>
          <w:sz w:val="26"/>
          <w:szCs w:val="26"/>
          <w:lang w:eastAsia="fr-FR"/>
        </w:rPr>
        <w:t>dérogent aux</w:t>
      </w:r>
      <w:r>
        <w:rPr>
          <w:rFonts w:ascii="Times New Roman" w:eastAsiaTheme="minorEastAsia" w:hAnsi="Times New Roman" w:cs="Times New Roman"/>
          <w:bCs/>
          <w:sz w:val="26"/>
          <w:szCs w:val="26"/>
          <w:lang w:eastAsia="fr-FR"/>
        </w:rPr>
        <w:t xml:space="preserve"> lois qui ont une portée générale (</w:t>
      </w:r>
      <w:r w:rsidR="002A7D70">
        <w:rPr>
          <w:rFonts w:ascii="Times New Roman" w:eastAsiaTheme="minorEastAsia" w:hAnsi="Times New Roman" w:cs="Times New Roman"/>
          <w:bCs/>
          <w:sz w:val="26"/>
          <w:szCs w:val="26"/>
          <w:lang w:eastAsia="fr-FR"/>
        </w:rPr>
        <w:t xml:space="preserve">l’adage </w:t>
      </w:r>
      <w:r w:rsidR="002A7D70" w:rsidRPr="002A7D70">
        <w:rPr>
          <w:rFonts w:ascii="Times New Roman" w:eastAsiaTheme="minorEastAsia" w:hAnsi="Times New Roman" w:cs="Times New Roman"/>
          <w:bCs/>
          <w:i/>
          <w:iCs/>
          <w:sz w:val="26"/>
          <w:szCs w:val="26"/>
          <w:lang w:eastAsia="fr-FR"/>
        </w:rPr>
        <w:t>specialia generalibus derogant</w:t>
      </w:r>
      <w:r w:rsidR="0005478B">
        <w:rPr>
          <w:rFonts w:ascii="Times New Roman" w:eastAsiaTheme="minorEastAsia" w:hAnsi="Times New Roman" w:cs="Times New Roman"/>
          <w:bCs/>
          <w:i/>
          <w:iCs/>
          <w:sz w:val="26"/>
          <w:szCs w:val="26"/>
          <w:lang w:eastAsia="fr-FR"/>
        </w:rPr>
        <w:t> </w:t>
      </w:r>
      <w:r w:rsidR="0005478B">
        <w:rPr>
          <w:rFonts w:ascii="Times New Roman" w:eastAsiaTheme="minorEastAsia" w:hAnsi="Times New Roman" w:cs="Times New Roman"/>
          <w:bCs/>
          <w:sz w:val="26"/>
          <w:szCs w:val="26"/>
          <w:lang w:eastAsia="fr-FR"/>
        </w:rPr>
        <w:t>; point 4 du jugement attaqué</w:t>
      </w:r>
      <w:r w:rsidR="002A7D70">
        <w:rPr>
          <w:rFonts w:ascii="Times New Roman" w:eastAsiaTheme="minorEastAsia" w:hAnsi="Times New Roman" w:cs="Times New Roman"/>
          <w:bCs/>
          <w:sz w:val="26"/>
          <w:szCs w:val="26"/>
          <w:lang w:eastAsia="fr-FR"/>
        </w:rPr>
        <w:t>).</w:t>
      </w:r>
    </w:p>
    <w:p w14:paraId="170895A0" w14:textId="3F60E408" w:rsidR="00143DB5" w:rsidRDefault="00143DB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318D6A2" w14:textId="77777777" w:rsidR="00143DB5" w:rsidRDefault="00143DB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922ABE7" w14:textId="54756D44" w:rsidR="002D4ABC" w:rsidRDefault="002A7D70" w:rsidP="00B6133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lastRenderedPageBreak/>
        <w:t>Contrairement à la position retenue par la CADA dans son avis du 26 septembre 2019, l</w:t>
      </w:r>
      <w:r w:rsidRPr="002A7D70">
        <w:rPr>
          <w:rFonts w:ascii="Times New Roman" w:eastAsiaTheme="minorEastAsia" w:hAnsi="Times New Roman" w:cs="Times New Roman"/>
          <w:bCs/>
          <w:sz w:val="26"/>
          <w:szCs w:val="26"/>
          <w:lang w:eastAsia="fr-FR"/>
        </w:rPr>
        <w:t xml:space="preserve">es premiers juges ont ainsi fait prévaloir les dispositions spéciales de l’article 21-1 de la loi </w:t>
      </w:r>
      <w:r w:rsidR="0005478B">
        <w:rPr>
          <w:rFonts w:ascii="Times New Roman" w:eastAsiaTheme="minorEastAsia" w:hAnsi="Times New Roman" w:cs="Times New Roman"/>
          <w:bCs/>
          <w:sz w:val="26"/>
          <w:szCs w:val="26"/>
          <w:lang w:eastAsia="fr-FR"/>
        </w:rPr>
        <w:t xml:space="preserve">du 31 décembre 1971 modifiée </w:t>
      </w:r>
      <w:r w:rsidRPr="002A7D70">
        <w:rPr>
          <w:rFonts w:ascii="Times New Roman" w:eastAsiaTheme="minorEastAsia" w:hAnsi="Times New Roman" w:cs="Times New Roman"/>
          <w:bCs/>
          <w:sz w:val="26"/>
          <w:szCs w:val="26"/>
          <w:lang w:eastAsia="fr-FR"/>
        </w:rPr>
        <w:t xml:space="preserve">sur les dispositions </w:t>
      </w:r>
      <w:r>
        <w:rPr>
          <w:rFonts w:ascii="Times New Roman" w:eastAsiaTheme="minorEastAsia" w:hAnsi="Times New Roman" w:cs="Times New Roman"/>
          <w:bCs/>
          <w:sz w:val="26"/>
          <w:szCs w:val="26"/>
          <w:lang w:eastAsia="fr-FR"/>
        </w:rPr>
        <w:t xml:space="preserve">législatives de portée générale du livre III du </w:t>
      </w:r>
      <w:r w:rsidR="009C5436">
        <w:rPr>
          <w:rFonts w:ascii="Times New Roman" w:eastAsiaTheme="minorEastAsia" w:hAnsi="Times New Roman" w:cs="Times New Roman"/>
          <w:bCs/>
          <w:sz w:val="26"/>
          <w:szCs w:val="26"/>
          <w:lang w:eastAsia="fr-FR"/>
        </w:rPr>
        <w:t>code des relations entre le public et l’administration</w:t>
      </w:r>
      <w:r>
        <w:rPr>
          <w:rFonts w:ascii="Times New Roman" w:eastAsiaTheme="minorEastAsia" w:hAnsi="Times New Roman" w:cs="Times New Roman"/>
          <w:bCs/>
          <w:sz w:val="26"/>
          <w:szCs w:val="26"/>
          <w:lang w:eastAsia="fr-FR"/>
        </w:rPr>
        <w:t xml:space="preserve"> relatives à l’accès aux documents administratifs et à la réutilisation des informations publiques (point 4 du jugement attaqué)</w:t>
      </w:r>
      <w:r w:rsidR="0005478B">
        <w:rPr>
          <w:rFonts w:ascii="Times New Roman" w:eastAsiaTheme="minorEastAsia" w:hAnsi="Times New Roman" w:cs="Times New Roman"/>
          <w:bCs/>
          <w:sz w:val="26"/>
          <w:szCs w:val="26"/>
          <w:lang w:eastAsia="fr-FR"/>
        </w:rPr>
        <w:t xml:space="preserve"> et sur celles de l’article 3 de la loi du 18 novembre 2016 (point 6 du jugement attaqué)</w:t>
      </w:r>
      <w:r w:rsidR="00143DB5">
        <w:rPr>
          <w:rFonts w:ascii="Times New Roman" w:eastAsiaTheme="minorEastAsia" w:hAnsi="Times New Roman" w:cs="Times New Roman"/>
          <w:bCs/>
          <w:sz w:val="26"/>
          <w:szCs w:val="26"/>
          <w:lang w:eastAsia="fr-FR"/>
        </w:rPr>
        <w:t xml:space="preserve"> pour écarter les conclusions tendant à la publication en ligne de l’annuaire professionnel</w:t>
      </w:r>
      <w:r w:rsidR="0005478B">
        <w:rPr>
          <w:rFonts w:ascii="Times New Roman" w:eastAsiaTheme="minorEastAsia" w:hAnsi="Times New Roman" w:cs="Times New Roman"/>
          <w:bCs/>
          <w:sz w:val="26"/>
          <w:szCs w:val="26"/>
          <w:lang w:eastAsia="fr-FR"/>
        </w:rPr>
        <w:t>.</w:t>
      </w:r>
      <w:r w:rsidR="00143DB5">
        <w:rPr>
          <w:rFonts w:ascii="Times New Roman" w:eastAsiaTheme="minorEastAsia" w:hAnsi="Times New Roman" w:cs="Times New Roman"/>
          <w:bCs/>
          <w:sz w:val="26"/>
          <w:szCs w:val="26"/>
          <w:lang w:eastAsia="fr-FR"/>
        </w:rPr>
        <w:t xml:space="preserve"> </w:t>
      </w:r>
      <w:r w:rsidR="00A02C39">
        <w:rPr>
          <w:rFonts w:ascii="Times New Roman" w:eastAsiaTheme="minorEastAsia" w:hAnsi="Times New Roman" w:cs="Times New Roman"/>
          <w:bCs/>
          <w:sz w:val="26"/>
          <w:szCs w:val="26"/>
          <w:lang w:eastAsia="fr-FR"/>
        </w:rPr>
        <w:t>E</w:t>
      </w:r>
      <w:r w:rsidR="00143DB5">
        <w:rPr>
          <w:rFonts w:ascii="Times New Roman" w:eastAsiaTheme="minorEastAsia" w:hAnsi="Times New Roman" w:cs="Times New Roman"/>
          <w:bCs/>
          <w:sz w:val="26"/>
          <w:szCs w:val="26"/>
          <w:lang w:eastAsia="fr-FR"/>
        </w:rPr>
        <w:t>n revanche,</w:t>
      </w:r>
      <w:r w:rsidR="00A02C39">
        <w:rPr>
          <w:rFonts w:ascii="Times New Roman" w:eastAsiaTheme="minorEastAsia" w:hAnsi="Times New Roman" w:cs="Times New Roman"/>
          <w:bCs/>
          <w:sz w:val="26"/>
          <w:szCs w:val="26"/>
          <w:lang w:eastAsia="fr-FR"/>
        </w:rPr>
        <w:t xml:space="preserve"> ils ont</w:t>
      </w:r>
      <w:r w:rsidR="00143DB5">
        <w:rPr>
          <w:rFonts w:ascii="Times New Roman" w:eastAsiaTheme="minorEastAsia" w:hAnsi="Times New Roman" w:cs="Times New Roman"/>
          <w:bCs/>
          <w:sz w:val="26"/>
          <w:szCs w:val="26"/>
          <w:lang w:eastAsia="fr-FR"/>
        </w:rPr>
        <w:t xml:space="preserve"> fait application du droit commun pour écarter les conclusions tendant à la publication en ligne de la liste des personnes morales exerçant la profession d’avocat (point 9 du jugement attaqué).</w:t>
      </w:r>
    </w:p>
    <w:p w14:paraId="37EDB17B" w14:textId="7C8361B6" w:rsidR="00A02C39" w:rsidRDefault="00A02C39" w:rsidP="00B6133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Ces différents motifs sont entachés de contradictions et d’erreurs de droit.</w:t>
      </w:r>
    </w:p>
    <w:p w14:paraId="2E8CADA1" w14:textId="77777777" w:rsidR="0005478B" w:rsidRDefault="0005478B" w:rsidP="00B6133A">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EA16534" w14:textId="496DA309" w:rsidR="002A7D70" w:rsidRDefault="002A7D70" w:rsidP="005323C7">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2A7D70">
        <w:rPr>
          <w:rFonts w:ascii="Times New Roman" w:eastAsiaTheme="minorEastAsia" w:hAnsi="Times New Roman" w:cs="Times New Roman"/>
          <w:b/>
          <w:sz w:val="26"/>
          <w:szCs w:val="26"/>
          <w:lang w:eastAsia="fr-FR"/>
        </w:rPr>
        <w:t>9.</w:t>
      </w:r>
      <w:r>
        <w:rPr>
          <w:rFonts w:ascii="Times New Roman" w:eastAsiaTheme="minorEastAsia" w:hAnsi="Times New Roman" w:cs="Times New Roman"/>
          <w:bCs/>
          <w:sz w:val="26"/>
          <w:szCs w:val="26"/>
          <w:lang w:eastAsia="fr-FR"/>
        </w:rPr>
        <w:t xml:space="preserve"> </w:t>
      </w:r>
      <w:r w:rsidR="00143DB5" w:rsidRPr="00143DB5">
        <w:rPr>
          <w:rFonts w:ascii="Times New Roman" w:eastAsiaTheme="minorEastAsia" w:hAnsi="Times New Roman" w:cs="Times New Roman"/>
          <w:b/>
          <w:sz w:val="26"/>
          <w:szCs w:val="26"/>
          <w:u w:val="single"/>
          <w:lang w:eastAsia="fr-FR"/>
        </w:rPr>
        <w:t>E</w:t>
      </w:r>
      <w:r w:rsidR="0005478B" w:rsidRPr="0005478B">
        <w:rPr>
          <w:rFonts w:ascii="Times New Roman" w:eastAsiaTheme="minorEastAsia" w:hAnsi="Times New Roman" w:cs="Times New Roman"/>
          <w:b/>
          <w:sz w:val="26"/>
          <w:szCs w:val="26"/>
          <w:u w:val="single"/>
          <w:lang w:eastAsia="fr-FR"/>
        </w:rPr>
        <w:t>n premier lieu</w:t>
      </w:r>
      <w:r w:rsidR="0005478B">
        <w:rPr>
          <w:rFonts w:ascii="Times New Roman" w:eastAsiaTheme="minorEastAsia" w:hAnsi="Times New Roman" w:cs="Times New Roman"/>
          <w:bCs/>
          <w:sz w:val="26"/>
          <w:szCs w:val="26"/>
          <w:lang w:eastAsia="fr-FR"/>
        </w:rPr>
        <w:t xml:space="preserve">, </w:t>
      </w:r>
      <w:r w:rsidR="006D73EF">
        <w:rPr>
          <w:rFonts w:ascii="Times New Roman" w:eastAsiaTheme="minorEastAsia" w:hAnsi="Times New Roman" w:cs="Times New Roman"/>
          <w:bCs/>
          <w:sz w:val="26"/>
          <w:szCs w:val="26"/>
          <w:lang w:eastAsia="fr-FR"/>
        </w:rPr>
        <w:t>on relève d’emblée deux contradictions dans les motifs du jugement attaqué.</w:t>
      </w:r>
    </w:p>
    <w:p w14:paraId="4B13BC2E" w14:textId="77777777" w:rsidR="005323C7" w:rsidRDefault="005323C7" w:rsidP="005323C7">
      <w:pPr>
        <w:tabs>
          <w:tab w:val="left" w:pos="1701"/>
        </w:tabs>
        <w:spacing w:before="60" w:after="60" w:line="240" w:lineRule="auto"/>
        <w:ind w:left="567" w:right="6"/>
        <w:jc w:val="both"/>
        <w:rPr>
          <w:rFonts w:ascii="Times New Roman" w:eastAsiaTheme="minorEastAsia" w:hAnsi="Times New Roman" w:cs="Times New Roman"/>
          <w:bCs/>
          <w:sz w:val="26"/>
          <w:szCs w:val="26"/>
          <w:u w:val="single"/>
          <w:lang w:eastAsia="fr-FR"/>
        </w:rPr>
      </w:pPr>
    </w:p>
    <w:p w14:paraId="33875A5E" w14:textId="726F9F01" w:rsidR="0005478B" w:rsidRDefault="005323C7" w:rsidP="005323C7">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5323C7">
        <w:rPr>
          <w:rFonts w:ascii="Times New Roman" w:eastAsiaTheme="minorEastAsia" w:hAnsi="Times New Roman" w:cs="Times New Roman"/>
          <w:b/>
          <w:sz w:val="26"/>
          <w:szCs w:val="26"/>
          <w:lang w:eastAsia="fr-FR"/>
        </w:rPr>
        <w:t xml:space="preserve">9.1. </w:t>
      </w:r>
      <w:r w:rsidR="006D73EF" w:rsidRPr="0005478B">
        <w:rPr>
          <w:rFonts w:ascii="Times New Roman" w:eastAsiaTheme="minorEastAsia" w:hAnsi="Times New Roman" w:cs="Times New Roman"/>
          <w:bCs/>
          <w:sz w:val="26"/>
          <w:szCs w:val="26"/>
          <w:u w:val="single"/>
          <w:lang w:eastAsia="fr-FR"/>
        </w:rPr>
        <w:t>D’une part</w:t>
      </w:r>
      <w:r w:rsidR="006D73EF" w:rsidRPr="006D73EF">
        <w:rPr>
          <w:rFonts w:ascii="Times New Roman" w:eastAsiaTheme="minorEastAsia" w:hAnsi="Times New Roman" w:cs="Times New Roman"/>
          <w:bCs/>
          <w:sz w:val="26"/>
          <w:szCs w:val="26"/>
          <w:lang w:eastAsia="fr-FR"/>
        </w:rPr>
        <w:t xml:space="preserve">, </w:t>
      </w:r>
      <w:r w:rsidR="006D73EF">
        <w:rPr>
          <w:rFonts w:ascii="Times New Roman" w:eastAsiaTheme="minorEastAsia" w:hAnsi="Times New Roman" w:cs="Times New Roman"/>
          <w:bCs/>
          <w:sz w:val="26"/>
          <w:szCs w:val="26"/>
          <w:lang w:eastAsia="fr-FR"/>
        </w:rPr>
        <w:t xml:space="preserve">le tribunal </w:t>
      </w:r>
      <w:r w:rsidR="0005478B">
        <w:rPr>
          <w:rFonts w:ascii="Times New Roman" w:eastAsiaTheme="minorEastAsia" w:hAnsi="Times New Roman" w:cs="Times New Roman"/>
          <w:bCs/>
          <w:sz w:val="26"/>
          <w:szCs w:val="26"/>
          <w:lang w:eastAsia="fr-FR"/>
        </w:rPr>
        <w:t xml:space="preserve">a </w:t>
      </w:r>
      <w:r w:rsidR="006D73EF">
        <w:rPr>
          <w:rFonts w:ascii="Times New Roman" w:eastAsiaTheme="minorEastAsia" w:hAnsi="Times New Roman" w:cs="Times New Roman"/>
          <w:bCs/>
          <w:sz w:val="26"/>
          <w:szCs w:val="26"/>
          <w:lang w:eastAsia="fr-FR"/>
        </w:rPr>
        <w:t xml:space="preserve">fait application </w:t>
      </w:r>
      <w:r w:rsidR="0005478B">
        <w:rPr>
          <w:rFonts w:ascii="Times New Roman" w:eastAsiaTheme="minorEastAsia" w:hAnsi="Times New Roman" w:cs="Times New Roman"/>
          <w:bCs/>
          <w:sz w:val="26"/>
          <w:szCs w:val="26"/>
          <w:lang w:eastAsia="fr-FR"/>
        </w:rPr>
        <w:t xml:space="preserve">du principe </w:t>
      </w:r>
      <w:r w:rsidR="0005478B" w:rsidRPr="0005478B">
        <w:rPr>
          <w:rFonts w:ascii="Times New Roman" w:eastAsiaTheme="minorEastAsia" w:hAnsi="Times New Roman" w:cs="Times New Roman"/>
          <w:bCs/>
          <w:i/>
          <w:iCs/>
          <w:sz w:val="26"/>
          <w:szCs w:val="26"/>
          <w:lang w:eastAsia="fr-FR"/>
        </w:rPr>
        <w:t>specialia generalibus derogant</w:t>
      </w:r>
      <w:r w:rsidR="006D73EF">
        <w:rPr>
          <w:rFonts w:ascii="Times New Roman" w:eastAsiaTheme="minorEastAsia" w:hAnsi="Times New Roman" w:cs="Times New Roman"/>
          <w:bCs/>
          <w:sz w:val="26"/>
          <w:szCs w:val="26"/>
          <w:lang w:eastAsia="fr-FR"/>
        </w:rPr>
        <w:t xml:space="preserve"> pour écarter l’application de l’article 3 de la loi du 18 novembre 2016 en considérant que la publication en ligne par le CNB de l’annuaire professionnel était régie</w:t>
      </w:r>
      <w:r w:rsidR="003008D2">
        <w:rPr>
          <w:rFonts w:ascii="Times New Roman" w:eastAsiaTheme="minorEastAsia" w:hAnsi="Times New Roman" w:cs="Times New Roman"/>
          <w:bCs/>
          <w:sz w:val="26"/>
          <w:szCs w:val="26"/>
          <w:lang w:eastAsia="fr-FR"/>
        </w:rPr>
        <w:t xml:space="preserve"> exclusivement</w:t>
      </w:r>
      <w:r w:rsidR="006D73EF">
        <w:rPr>
          <w:rFonts w:ascii="Times New Roman" w:eastAsiaTheme="minorEastAsia" w:hAnsi="Times New Roman" w:cs="Times New Roman"/>
          <w:bCs/>
          <w:sz w:val="26"/>
          <w:szCs w:val="26"/>
          <w:lang w:eastAsia="fr-FR"/>
        </w:rPr>
        <w:t xml:space="preserve"> par l’article 21-1 de la loi du 31 décembre 1971</w:t>
      </w:r>
      <w:r w:rsidR="003008D2">
        <w:rPr>
          <w:rFonts w:ascii="Times New Roman" w:eastAsiaTheme="minorEastAsia" w:hAnsi="Times New Roman" w:cs="Times New Roman"/>
          <w:bCs/>
          <w:sz w:val="26"/>
          <w:szCs w:val="26"/>
          <w:lang w:eastAsia="fr-FR"/>
        </w:rPr>
        <w:t xml:space="preserve"> modifiée</w:t>
      </w:r>
      <w:r w:rsidR="006D73EF">
        <w:rPr>
          <w:rFonts w:ascii="Times New Roman" w:eastAsiaTheme="minorEastAsia" w:hAnsi="Times New Roman" w:cs="Times New Roman"/>
          <w:bCs/>
          <w:sz w:val="26"/>
          <w:szCs w:val="26"/>
          <w:lang w:eastAsia="fr-FR"/>
        </w:rPr>
        <w:t xml:space="preserve"> (point 6 du jugement attaqué)</w:t>
      </w:r>
      <w:r w:rsidR="0005478B">
        <w:rPr>
          <w:rFonts w:ascii="Times New Roman" w:eastAsiaTheme="minorEastAsia" w:hAnsi="Times New Roman" w:cs="Times New Roman"/>
          <w:bCs/>
          <w:sz w:val="26"/>
          <w:szCs w:val="26"/>
          <w:lang w:eastAsia="fr-FR"/>
        </w:rPr>
        <w:t>,</w:t>
      </w:r>
      <w:r w:rsidR="006D73EF">
        <w:rPr>
          <w:rFonts w:ascii="Times New Roman" w:eastAsiaTheme="minorEastAsia" w:hAnsi="Times New Roman" w:cs="Times New Roman"/>
          <w:bCs/>
          <w:sz w:val="26"/>
          <w:szCs w:val="26"/>
          <w:lang w:eastAsia="fr-FR"/>
        </w:rPr>
        <w:t xml:space="preserve"> alors même qu’il s’agi</w:t>
      </w:r>
      <w:r w:rsidR="0005478B">
        <w:rPr>
          <w:rFonts w:ascii="Times New Roman" w:eastAsiaTheme="minorEastAsia" w:hAnsi="Times New Roman" w:cs="Times New Roman"/>
          <w:bCs/>
          <w:sz w:val="26"/>
          <w:szCs w:val="26"/>
          <w:lang w:eastAsia="fr-FR"/>
        </w:rPr>
        <w:t>ssai</w:t>
      </w:r>
      <w:r w:rsidR="006D73EF">
        <w:rPr>
          <w:rFonts w:ascii="Times New Roman" w:eastAsiaTheme="minorEastAsia" w:hAnsi="Times New Roman" w:cs="Times New Roman"/>
          <w:bCs/>
          <w:sz w:val="26"/>
          <w:szCs w:val="26"/>
          <w:lang w:eastAsia="fr-FR"/>
        </w:rPr>
        <w:t xml:space="preserve">t de </w:t>
      </w:r>
      <w:r w:rsidR="006D73EF" w:rsidRPr="0005478B">
        <w:rPr>
          <w:rFonts w:ascii="Times New Roman" w:eastAsiaTheme="minorEastAsia" w:hAnsi="Times New Roman" w:cs="Times New Roman"/>
          <w:bCs/>
          <w:sz w:val="26"/>
          <w:szCs w:val="26"/>
          <w:u w:val="single"/>
          <w:lang w:eastAsia="fr-FR"/>
        </w:rPr>
        <w:t xml:space="preserve">départager </w:t>
      </w:r>
      <w:r w:rsidR="0005478B" w:rsidRPr="0005478B">
        <w:rPr>
          <w:rFonts w:ascii="Times New Roman" w:eastAsiaTheme="minorEastAsia" w:hAnsi="Times New Roman" w:cs="Times New Roman"/>
          <w:bCs/>
          <w:sz w:val="26"/>
          <w:szCs w:val="26"/>
          <w:u w:val="single"/>
          <w:lang w:eastAsia="fr-FR"/>
        </w:rPr>
        <w:t>deux dispositions spéciales issues du même texte législatif</w:t>
      </w:r>
      <w:r w:rsidR="0005478B">
        <w:rPr>
          <w:rFonts w:ascii="Times New Roman" w:eastAsiaTheme="minorEastAsia" w:hAnsi="Times New Roman" w:cs="Times New Roman"/>
          <w:bCs/>
          <w:sz w:val="26"/>
          <w:szCs w:val="26"/>
          <w:lang w:eastAsia="fr-FR"/>
        </w:rPr>
        <w:t>.</w:t>
      </w:r>
    </w:p>
    <w:p w14:paraId="12F28336" w14:textId="7C0D81B0" w:rsidR="005323C7" w:rsidRPr="005323C7" w:rsidRDefault="005323C7"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5323C7">
        <w:rPr>
          <w:rFonts w:ascii="Times New Roman" w:eastAsiaTheme="minorEastAsia" w:hAnsi="Times New Roman" w:cs="Times New Roman"/>
          <w:bCs/>
          <w:sz w:val="26"/>
          <w:szCs w:val="26"/>
          <w:lang w:eastAsia="fr-FR"/>
        </w:rPr>
        <w:t>Mais ce principe, qui postule que la loi spéciale l’emporte sur la loi générale, n’a pas vocation à ar</w:t>
      </w:r>
      <w:r>
        <w:rPr>
          <w:rFonts w:ascii="Times New Roman" w:eastAsiaTheme="minorEastAsia" w:hAnsi="Times New Roman" w:cs="Times New Roman"/>
          <w:bCs/>
          <w:sz w:val="26"/>
          <w:szCs w:val="26"/>
          <w:lang w:eastAsia="fr-FR"/>
        </w:rPr>
        <w:t>bitrer entre des droits spéciaux.</w:t>
      </w:r>
    </w:p>
    <w:p w14:paraId="23997E23" w14:textId="79EA85B6" w:rsidR="006D73EF" w:rsidRDefault="0005478B" w:rsidP="005323C7">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Il y a là une</w:t>
      </w:r>
      <w:r w:rsidR="00A02C39">
        <w:rPr>
          <w:rFonts w:ascii="Times New Roman" w:eastAsiaTheme="minorEastAsia" w:hAnsi="Times New Roman" w:cs="Times New Roman"/>
          <w:bCs/>
          <w:sz w:val="26"/>
          <w:szCs w:val="26"/>
          <w:lang w:eastAsia="fr-FR"/>
        </w:rPr>
        <w:t xml:space="preserve"> première</w:t>
      </w:r>
      <w:r>
        <w:rPr>
          <w:rFonts w:ascii="Times New Roman" w:eastAsiaTheme="minorEastAsia" w:hAnsi="Times New Roman" w:cs="Times New Roman"/>
          <w:bCs/>
          <w:sz w:val="26"/>
          <w:szCs w:val="26"/>
          <w:lang w:eastAsia="fr-FR"/>
        </w:rPr>
        <w:t xml:space="preserve"> </w:t>
      </w:r>
      <w:r w:rsidRPr="005323C7">
        <w:rPr>
          <w:rFonts w:ascii="Times New Roman" w:eastAsiaTheme="minorEastAsia" w:hAnsi="Times New Roman" w:cs="Times New Roman"/>
          <w:b/>
          <w:sz w:val="26"/>
          <w:szCs w:val="26"/>
          <w:u w:val="single"/>
          <w:lang w:eastAsia="fr-FR"/>
        </w:rPr>
        <w:t>erreur de</w:t>
      </w:r>
      <w:r w:rsidRPr="00A02C39">
        <w:rPr>
          <w:rFonts w:ascii="Times New Roman" w:eastAsiaTheme="minorEastAsia" w:hAnsi="Times New Roman" w:cs="Times New Roman"/>
          <w:b/>
          <w:sz w:val="26"/>
          <w:szCs w:val="26"/>
          <w:u w:val="single"/>
          <w:lang w:eastAsia="fr-FR"/>
        </w:rPr>
        <w:t xml:space="preserve"> droit</w:t>
      </w:r>
      <w:r w:rsidR="00A02C39">
        <w:rPr>
          <w:rFonts w:ascii="Times New Roman" w:eastAsiaTheme="minorEastAsia" w:hAnsi="Times New Roman" w:cs="Times New Roman"/>
          <w:b/>
          <w:sz w:val="26"/>
          <w:szCs w:val="26"/>
          <w:lang w:eastAsia="fr-FR"/>
        </w:rPr>
        <w:t xml:space="preserve"> </w:t>
      </w:r>
      <w:r w:rsidRPr="00A02C39">
        <w:rPr>
          <w:rFonts w:ascii="Times New Roman" w:eastAsiaTheme="minorEastAsia" w:hAnsi="Times New Roman" w:cs="Times New Roman"/>
          <w:bCs/>
          <w:sz w:val="26"/>
          <w:szCs w:val="26"/>
          <w:lang w:eastAsia="fr-FR"/>
        </w:rPr>
        <w:t>que</w:t>
      </w:r>
      <w:r>
        <w:rPr>
          <w:rFonts w:ascii="Times New Roman" w:eastAsiaTheme="minorEastAsia" w:hAnsi="Times New Roman" w:cs="Times New Roman"/>
          <w:bCs/>
          <w:sz w:val="26"/>
          <w:szCs w:val="26"/>
          <w:lang w:eastAsia="fr-FR"/>
        </w:rPr>
        <w:t xml:space="preserve"> le Conseil d’Etat devra censurer.</w:t>
      </w:r>
    </w:p>
    <w:p w14:paraId="7789C852" w14:textId="77777777" w:rsidR="005323C7" w:rsidRDefault="005323C7" w:rsidP="005323C7">
      <w:pPr>
        <w:tabs>
          <w:tab w:val="left" w:pos="1701"/>
        </w:tabs>
        <w:spacing w:before="60" w:after="60" w:line="240" w:lineRule="auto"/>
        <w:ind w:left="567" w:right="6"/>
        <w:jc w:val="both"/>
        <w:rPr>
          <w:rFonts w:ascii="Times New Roman" w:eastAsiaTheme="minorEastAsia" w:hAnsi="Times New Roman" w:cs="Times New Roman"/>
          <w:bCs/>
          <w:sz w:val="26"/>
          <w:szCs w:val="26"/>
          <w:u w:val="single"/>
          <w:lang w:eastAsia="fr-FR"/>
        </w:rPr>
      </w:pPr>
    </w:p>
    <w:p w14:paraId="53DD1D10" w14:textId="3FFF0733" w:rsidR="0005478B" w:rsidRDefault="005323C7" w:rsidP="005323C7">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5323C7">
        <w:rPr>
          <w:rFonts w:ascii="Times New Roman" w:eastAsiaTheme="minorEastAsia" w:hAnsi="Times New Roman" w:cs="Times New Roman"/>
          <w:b/>
          <w:sz w:val="26"/>
          <w:szCs w:val="26"/>
          <w:lang w:eastAsia="fr-FR"/>
        </w:rPr>
        <w:t>9.2.</w:t>
      </w:r>
      <w:r w:rsidRPr="005323C7">
        <w:rPr>
          <w:rFonts w:ascii="Times New Roman" w:eastAsiaTheme="minorEastAsia" w:hAnsi="Times New Roman" w:cs="Times New Roman"/>
          <w:bCs/>
          <w:sz w:val="26"/>
          <w:szCs w:val="26"/>
          <w:lang w:eastAsia="fr-FR"/>
        </w:rPr>
        <w:t xml:space="preserve"> </w:t>
      </w:r>
      <w:r w:rsidR="0005478B" w:rsidRPr="0005478B">
        <w:rPr>
          <w:rFonts w:ascii="Times New Roman" w:eastAsiaTheme="minorEastAsia" w:hAnsi="Times New Roman" w:cs="Times New Roman"/>
          <w:bCs/>
          <w:sz w:val="26"/>
          <w:szCs w:val="26"/>
          <w:u w:val="single"/>
          <w:lang w:eastAsia="fr-FR"/>
        </w:rPr>
        <w:t>D’autre part et surtout</w:t>
      </w:r>
      <w:r w:rsidR="0005478B">
        <w:rPr>
          <w:rFonts w:ascii="Times New Roman" w:eastAsiaTheme="minorEastAsia" w:hAnsi="Times New Roman" w:cs="Times New Roman"/>
          <w:bCs/>
          <w:sz w:val="26"/>
          <w:szCs w:val="26"/>
          <w:lang w:eastAsia="fr-FR"/>
        </w:rPr>
        <w:t>, le tribunal s’est placé sur le terrain du droit commun</w:t>
      </w:r>
      <w:r w:rsidR="009C5436">
        <w:rPr>
          <w:rFonts w:ascii="Times New Roman" w:eastAsiaTheme="minorEastAsia" w:hAnsi="Times New Roman" w:cs="Times New Roman"/>
          <w:bCs/>
          <w:sz w:val="26"/>
          <w:szCs w:val="26"/>
          <w:lang w:eastAsia="fr-FR"/>
        </w:rPr>
        <w:t xml:space="preserve"> du livre III du code des relations entre le public et l’administration</w:t>
      </w:r>
      <w:r w:rsidR="0005478B">
        <w:rPr>
          <w:rFonts w:ascii="Times New Roman" w:eastAsiaTheme="minorEastAsia" w:hAnsi="Times New Roman" w:cs="Times New Roman"/>
          <w:bCs/>
          <w:sz w:val="26"/>
          <w:szCs w:val="26"/>
          <w:lang w:eastAsia="fr-FR"/>
        </w:rPr>
        <w:t xml:space="preserve"> pour rejeter les conclusions tendant à la publication en ligne de la liste des personnes morales </w:t>
      </w:r>
      <w:r w:rsidR="009C5436">
        <w:rPr>
          <w:rFonts w:ascii="Times New Roman" w:eastAsiaTheme="minorEastAsia" w:hAnsi="Times New Roman" w:cs="Times New Roman"/>
          <w:bCs/>
          <w:sz w:val="26"/>
          <w:szCs w:val="26"/>
          <w:lang w:eastAsia="fr-FR"/>
        </w:rPr>
        <w:t>exerçant la profession d’avocat, en considérant que cette liste n’existait pas et qu’il n’était pas établi qu’elle pouvait être obtenue par un traitement automatisé d’usage courant (point 9 du jugement attaqué).</w:t>
      </w:r>
    </w:p>
    <w:p w14:paraId="093BB017" w14:textId="77777777" w:rsidR="00A02C39" w:rsidRDefault="00A02C39"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9495C09" w14:textId="77777777" w:rsidR="00A02C39" w:rsidRDefault="00A02C39"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3687573" w14:textId="51DF2989" w:rsidR="009C5436" w:rsidRDefault="009C5436"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9C5436">
        <w:rPr>
          <w:rFonts w:ascii="Times New Roman" w:eastAsiaTheme="minorEastAsia" w:hAnsi="Times New Roman" w:cs="Times New Roman"/>
          <w:bCs/>
          <w:sz w:val="26"/>
          <w:szCs w:val="26"/>
          <w:lang w:eastAsia="fr-FR"/>
        </w:rPr>
        <w:lastRenderedPageBreak/>
        <w:t xml:space="preserve">On reconnaît, dans cette formulation, </w:t>
      </w:r>
      <w:r>
        <w:rPr>
          <w:rFonts w:ascii="Times New Roman" w:eastAsiaTheme="minorEastAsia" w:hAnsi="Times New Roman" w:cs="Times New Roman"/>
          <w:bCs/>
          <w:sz w:val="26"/>
          <w:szCs w:val="26"/>
          <w:lang w:eastAsia="fr-FR"/>
        </w:rPr>
        <w:t>les anciennes dispositions de l’article 1</w:t>
      </w:r>
      <w:r w:rsidRPr="009C5436">
        <w:rPr>
          <w:rFonts w:ascii="Times New Roman" w:eastAsiaTheme="minorEastAsia" w:hAnsi="Times New Roman" w:cs="Times New Roman"/>
          <w:bCs/>
          <w:sz w:val="26"/>
          <w:szCs w:val="26"/>
          <w:vertAlign w:val="superscript"/>
          <w:lang w:eastAsia="fr-FR"/>
        </w:rPr>
        <w:t>er</w:t>
      </w:r>
      <w:r>
        <w:rPr>
          <w:rFonts w:ascii="Times New Roman" w:eastAsiaTheme="minorEastAsia" w:hAnsi="Times New Roman" w:cs="Times New Roman"/>
          <w:bCs/>
          <w:sz w:val="26"/>
          <w:szCs w:val="26"/>
          <w:lang w:eastAsia="fr-FR"/>
        </w:rPr>
        <w:t xml:space="preserve"> de la loi du 17 juillet 1978, dans leur rédaction issue de la loi du 12 avril 2000 et antérieure à celle issue de l’ordonnance du 6 juin 2005, </w:t>
      </w:r>
      <w:r w:rsidR="00461A77">
        <w:rPr>
          <w:rFonts w:ascii="Times New Roman" w:eastAsiaTheme="minorEastAsia" w:hAnsi="Times New Roman" w:cs="Times New Roman"/>
          <w:bCs/>
          <w:sz w:val="26"/>
          <w:szCs w:val="26"/>
          <w:lang w:eastAsia="fr-FR"/>
        </w:rPr>
        <w:t xml:space="preserve">selon lesquelles sont des documents administratifs au sens de la loi ceux pouvant être obtenus par un traitement automatisé d’usage courant (v., sur ce point, les concl. de L. Domingo sur la décision </w:t>
      </w:r>
      <w:r w:rsidR="00461A77" w:rsidRPr="00461A77">
        <w:rPr>
          <w:rFonts w:ascii="Times New Roman" w:eastAsiaTheme="minorEastAsia" w:hAnsi="Times New Roman" w:cs="Times New Roman"/>
          <w:bCs/>
          <w:i/>
          <w:iCs/>
          <w:sz w:val="26"/>
          <w:szCs w:val="26"/>
          <w:lang w:eastAsia="fr-FR"/>
        </w:rPr>
        <w:t>Solana</w:t>
      </w:r>
      <w:r w:rsidR="00461A77">
        <w:rPr>
          <w:rFonts w:ascii="Times New Roman" w:eastAsiaTheme="minorEastAsia" w:hAnsi="Times New Roman" w:cs="Times New Roman"/>
          <w:bCs/>
          <w:sz w:val="26"/>
          <w:szCs w:val="26"/>
          <w:lang w:eastAsia="fr-FR"/>
        </w:rPr>
        <w:t xml:space="preserve"> du 13 novembre 2020, n° 432832, aux tables, AJDA 2021.172 : « un document administratif peut ne pas exister matériellement mais seulement virtuellement, dès lors qu’il peut être constitué par l’administration à l’aide d’un traitement »).</w:t>
      </w:r>
    </w:p>
    <w:p w14:paraId="0DDB82C1" w14:textId="0DAAE07B" w:rsidR="00461A77" w:rsidRDefault="00DE29DE"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Mais, en toute logique, le tribunal aurait dû considérer que l’article 21-1 de la loi du 31 décembre 1971</w:t>
      </w:r>
      <w:r w:rsidR="00B042D8">
        <w:rPr>
          <w:rFonts w:ascii="Times New Roman" w:eastAsiaTheme="minorEastAsia" w:hAnsi="Times New Roman" w:cs="Times New Roman"/>
          <w:bCs/>
          <w:sz w:val="26"/>
          <w:szCs w:val="26"/>
          <w:lang w:eastAsia="fr-FR"/>
        </w:rPr>
        <w:t xml:space="preserve"> modifiée</w:t>
      </w:r>
      <w:r w:rsidR="00A02C39">
        <w:rPr>
          <w:rFonts w:ascii="Times New Roman" w:eastAsiaTheme="minorEastAsia" w:hAnsi="Times New Roman" w:cs="Times New Roman"/>
          <w:bCs/>
          <w:sz w:val="26"/>
          <w:szCs w:val="26"/>
          <w:lang w:eastAsia="fr-FR"/>
        </w:rPr>
        <w:t>, qui</w:t>
      </w:r>
      <w:r>
        <w:rPr>
          <w:rFonts w:ascii="Times New Roman" w:eastAsiaTheme="minorEastAsia" w:hAnsi="Times New Roman" w:cs="Times New Roman"/>
          <w:bCs/>
          <w:sz w:val="26"/>
          <w:szCs w:val="26"/>
          <w:lang w:eastAsia="fr-FR"/>
        </w:rPr>
        <w:t xml:space="preserve"> se borne à mettre à la charge du CNB une obligation de mise à disposition en ligne d’un annuaire national des avocats inscrits au tableau d’un barreau, </w:t>
      </w:r>
      <w:r w:rsidR="00A02C39">
        <w:rPr>
          <w:rFonts w:ascii="Times New Roman" w:eastAsiaTheme="minorEastAsia" w:hAnsi="Times New Roman" w:cs="Times New Roman"/>
          <w:bCs/>
          <w:sz w:val="26"/>
          <w:szCs w:val="26"/>
          <w:lang w:eastAsia="fr-FR"/>
        </w:rPr>
        <w:t>ne prévoit pas la mise à disposition</w:t>
      </w:r>
      <w:r>
        <w:rPr>
          <w:rFonts w:ascii="Times New Roman" w:eastAsiaTheme="minorEastAsia" w:hAnsi="Times New Roman" w:cs="Times New Roman"/>
          <w:bCs/>
          <w:sz w:val="26"/>
          <w:szCs w:val="26"/>
          <w:lang w:eastAsia="fr-FR"/>
        </w:rPr>
        <w:t xml:space="preserve"> d’une liste des personnes morales exerçant la profession d’avocat.</w:t>
      </w:r>
    </w:p>
    <w:p w14:paraId="59B10B35" w14:textId="7188458A" w:rsidR="00DE29DE" w:rsidRDefault="00DE29DE"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Il y a là une </w:t>
      </w:r>
      <w:r w:rsidRPr="005323C7">
        <w:rPr>
          <w:rFonts w:ascii="Times New Roman" w:eastAsiaTheme="minorEastAsia" w:hAnsi="Times New Roman" w:cs="Times New Roman"/>
          <w:bCs/>
          <w:sz w:val="26"/>
          <w:szCs w:val="26"/>
          <w:u w:val="single"/>
          <w:lang w:eastAsia="fr-FR"/>
        </w:rPr>
        <w:t>contradiction manifeste entre</w:t>
      </w:r>
      <w:r w:rsidR="005323C7" w:rsidRPr="005323C7">
        <w:rPr>
          <w:rFonts w:ascii="Times New Roman" w:eastAsiaTheme="minorEastAsia" w:hAnsi="Times New Roman" w:cs="Times New Roman"/>
          <w:bCs/>
          <w:sz w:val="26"/>
          <w:szCs w:val="26"/>
          <w:u w:val="single"/>
          <w:lang w:eastAsia="fr-FR"/>
        </w:rPr>
        <w:t xml:space="preserve"> les points 4 et 9 du jugement attaqué</w:t>
      </w:r>
      <w:r w:rsidR="005323C7">
        <w:rPr>
          <w:rFonts w:ascii="Times New Roman" w:eastAsiaTheme="minorEastAsia" w:hAnsi="Times New Roman" w:cs="Times New Roman"/>
          <w:bCs/>
          <w:sz w:val="26"/>
          <w:szCs w:val="26"/>
          <w:lang w:eastAsia="fr-FR"/>
        </w:rPr>
        <w:t xml:space="preserve"> : le tribunal ne pouvait pas, dans le même temps, refuser de faire application du droit commun pour écarter les conclusions tendant à la publication en ligne de l’annuaire professionnel et faire application du droit commun pour écarter les conclusions tendant à la publication en ligne de la liste des personnes morales ; </w:t>
      </w:r>
      <w:r w:rsidR="00B042D8">
        <w:rPr>
          <w:rFonts w:ascii="Times New Roman" w:eastAsiaTheme="minorEastAsia" w:hAnsi="Times New Roman" w:cs="Times New Roman"/>
          <w:bCs/>
          <w:sz w:val="26"/>
          <w:szCs w:val="26"/>
          <w:lang w:eastAsia="fr-FR"/>
        </w:rPr>
        <w:t>en d’autres termes</w:t>
      </w:r>
      <w:r w:rsidR="005323C7">
        <w:rPr>
          <w:rFonts w:ascii="Times New Roman" w:eastAsiaTheme="minorEastAsia" w:hAnsi="Times New Roman" w:cs="Times New Roman"/>
          <w:bCs/>
          <w:sz w:val="26"/>
          <w:szCs w:val="26"/>
          <w:lang w:eastAsia="fr-FR"/>
        </w:rPr>
        <w:t>, le tribunal ne pouvait pas poser le principe d’une application exclusive des dispositions spéciales de l’article 21-1 de la loi du 31 décembre 1971</w:t>
      </w:r>
      <w:r w:rsidR="00B042D8">
        <w:rPr>
          <w:rFonts w:ascii="Times New Roman" w:eastAsiaTheme="minorEastAsia" w:hAnsi="Times New Roman" w:cs="Times New Roman"/>
          <w:bCs/>
          <w:sz w:val="26"/>
          <w:szCs w:val="26"/>
          <w:lang w:eastAsia="fr-FR"/>
        </w:rPr>
        <w:t xml:space="preserve"> (point 4)</w:t>
      </w:r>
      <w:r w:rsidR="005323C7">
        <w:rPr>
          <w:rFonts w:ascii="Times New Roman" w:eastAsiaTheme="minorEastAsia" w:hAnsi="Times New Roman" w:cs="Times New Roman"/>
          <w:bCs/>
          <w:sz w:val="26"/>
          <w:szCs w:val="26"/>
          <w:lang w:eastAsia="fr-FR"/>
        </w:rPr>
        <w:t xml:space="preserve"> et se placer ensuite sur le terrain du droit commun du code des relations entre le public et l’administration</w:t>
      </w:r>
      <w:r w:rsidR="00B042D8">
        <w:rPr>
          <w:rFonts w:ascii="Times New Roman" w:eastAsiaTheme="minorEastAsia" w:hAnsi="Times New Roman" w:cs="Times New Roman"/>
          <w:bCs/>
          <w:sz w:val="26"/>
          <w:szCs w:val="26"/>
          <w:lang w:eastAsia="fr-FR"/>
        </w:rPr>
        <w:t xml:space="preserve"> (point 9)</w:t>
      </w:r>
      <w:r w:rsidR="005323C7">
        <w:rPr>
          <w:rFonts w:ascii="Times New Roman" w:eastAsiaTheme="minorEastAsia" w:hAnsi="Times New Roman" w:cs="Times New Roman"/>
          <w:bCs/>
          <w:sz w:val="26"/>
          <w:szCs w:val="26"/>
          <w:lang w:eastAsia="fr-FR"/>
        </w:rPr>
        <w:t>.</w:t>
      </w:r>
    </w:p>
    <w:p w14:paraId="1644016A" w14:textId="505EAFA5" w:rsidR="005323C7" w:rsidRDefault="005323C7"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Il y a, là encore, une </w:t>
      </w:r>
      <w:r w:rsidRPr="005323C7">
        <w:rPr>
          <w:rFonts w:ascii="Times New Roman" w:eastAsiaTheme="minorEastAsia" w:hAnsi="Times New Roman" w:cs="Times New Roman"/>
          <w:b/>
          <w:sz w:val="26"/>
          <w:szCs w:val="26"/>
          <w:u w:val="single"/>
          <w:lang w:eastAsia="fr-FR"/>
        </w:rPr>
        <w:t xml:space="preserve">erreur de </w:t>
      </w:r>
      <w:r w:rsidRPr="00A02C39">
        <w:rPr>
          <w:rFonts w:ascii="Times New Roman" w:eastAsiaTheme="minorEastAsia" w:hAnsi="Times New Roman" w:cs="Times New Roman"/>
          <w:b/>
          <w:sz w:val="26"/>
          <w:szCs w:val="26"/>
          <w:u w:val="single"/>
          <w:lang w:eastAsia="fr-FR"/>
        </w:rPr>
        <w:t>droit</w:t>
      </w:r>
      <w:r w:rsidR="00A02C39">
        <w:rPr>
          <w:rFonts w:ascii="Times New Roman" w:eastAsiaTheme="minorEastAsia" w:hAnsi="Times New Roman" w:cs="Times New Roman"/>
          <w:b/>
          <w:sz w:val="26"/>
          <w:szCs w:val="26"/>
          <w:lang w:eastAsia="fr-FR"/>
        </w:rPr>
        <w:t xml:space="preserve"> </w:t>
      </w:r>
      <w:r w:rsidR="00A02C39" w:rsidRPr="00A02C39">
        <w:rPr>
          <w:rFonts w:ascii="Times New Roman" w:eastAsiaTheme="minorEastAsia" w:hAnsi="Times New Roman" w:cs="Times New Roman"/>
          <w:bCs/>
          <w:sz w:val="26"/>
          <w:szCs w:val="26"/>
          <w:lang w:eastAsia="fr-FR"/>
        </w:rPr>
        <w:t>- la deuxième -</w:t>
      </w:r>
      <w:r w:rsidR="00A02C39">
        <w:rPr>
          <w:rFonts w:ascii="Times New Roman" w:eastAsiaTheme="minorEastAsia" w:hAnsi="Times New Roman" w:cs="Times New Roman"/>
          <w:b/>
          <w:sz w:val="26"/>
          <w:szCs w:val="26"/>
          <w:lang w:eastAsia="fr-FR"/>
        </w:rPr>
        <w:t xml:space="preserve"> </w:t>
      </w:r>
      <w:r w:rsidRPr="00A02C39">
        <w:rPr>
          <w:rFonts w:ascii="Times New Roman" w:eastAsiaTheme="minorEastAsia" w:hAnsi="Times New Roman" w:cs="Times New Roman"/>
          <w:bCs/>
          <w:sz w:val="26"/>
          <w:szCs w:val="26"/>
          <w:lang w:eastAsia="fr-FR"/>
        </w:rPr>
        <w:t>que</w:t>
      </w:r>
      <w:r>
        <w:rPr>
          <w:rFonts w:ascii="Times New Roman" w:eastAsiaTheme="minorEastAsia" w:hAnsi="Times New Roman" w:cs="Times New Roman"/>
          <w:bCs/>
          <w:sz w:val="26"/>
          <w:szCs w:val="26"/>
          <w:lang w:eastAsia="fr-FR"/>
        </w:rPr>
        <w:t xml:space="preserve"> le Conseil d’Etat devra censurer.</w:t>
      </w:r>
    </w:p>
    <w:p w14:paraId="182672C1" w14:textId="160D05B2" w:rsidR="005323C7" w:rsidRDefault="005323C7"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CA03E41" w14:textId="19091A33" w:rsidR="005323C7" w:rsidRDefault="005323C7"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32979">
        <w:rPr>
          <w:rFonts w:ascii="Times New Roman" w:eastAsiaTheme="minorEastAsia" w:hAnsi="Times New Roman" w:cs="Times New Roman"/>
          <w:b/>
          <w:sz w:val="26"/>
          <w:szCs w:val="26"/>
          <w:lang w:eastAsia="fr-FR"/>
        </w:rPr>
        <w:t>10.</w:t>
      </w:r>
      <w:r>
        <w:rPr>
          <w:rFonts w:ascii="Times New Roman" w:eastAsiaTheme="minorEastAsia" w:hAnsi="Times New Roman" w:cs="Times New Roman"/>
          <w:bCs/>
          <w:sz w:val="26"/>
          <w:szCs w:val="26"/>
          <w:lang w:eastAsia="fr-FR"/>
        </w:rPr>
        <w:t xml:space="preserve"> Mais ce </w:t>
      </w:r>
      <w:r w:rsidR="00032979">
        <w:rPr>
          <w:rFonts w:ascii="Times New Roman" w:eastAsiaTheme="minorEastAsia" w:hAnsi="Times New Roman" w:cs="Times New Roman"/>
          <w:bCs/>
          <w:sz w:val="26"/>
          <w:szCs w:val="26"/>
          <w:lang w:eastAsia="fr-FR"/>
        </w:rPr>
        <w:t>miroitement</w:t>
      </w:r>
      <w:r>
        <w:rPr>
          <w:rFonts w:ascii="Times New Roman" w:eastAsiaTheme="minorEastAsia" w:hAnsi="Times New Roman" w:cs="Times New Roman"/>
          <w:bCs/>
          <w:sz w:val="26"/>
          <w:szCs w:val="26"/>
          <w:lang w:eastAsia="fr-FR"/>
        </w:rPr>
        <w:t xml:space="preserve"> dans les motifs du jugement attaqué </w:t>
      </w:r>
      <w:r w:rsidR="00032979">
        <w:rPr>
          <w:rFonts w:ascii="Times New Roman" w:eastAsiaTheme="minorEastAsia" w:hAnsi="Times New Roman" w:cs="Times New Roman"/>
          <w:bCs/>
          <w:sz w:val="26"/>
          <w:szCs w:val="26"/>
          <w:lang w:eastAsia="fr-FR"/>
        </w:rPr>
        <w:t>révèle, en réalité, un vice plus profond dans le raisonnement des premiers juges.</w:t>
      </w:r>
    </w:p>
    <w:p w14:paraId="0D3EDB17" w14:textId="3F67BC8D" w:rsidR="00032979" w:rsidRDefault="00032979"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2558B60E" w14:textId="49B61D3C" w:rsidR="009477F1" w:rsidRDefault="00032979"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32979">
        <w:rPr>
          <w:rFonts w:ascii="Times New Roman" w:eastAsiaTheme="minorEastAsia" w:hAnsi="Times New Roman" w:cs="Times New Roman"/>
          <w:b/>
          <w:sz w:val="26"/>
          <w:szCs w:val="26"/>
          <w:lang w:eastAsia="fr-FR"/>
        </w:rPr>
        <w:t>11.</w:t>
      </w:r>
      <w:r>
        <w:rPr>
          <w:rFonts w:ascii="Times New Roman" w:eastAsiaTheme="minorEastAsia" w:hAnsi="Times New Roman" w:cs="Times New Roman"/>
          <w:bCs/>
          <w:sz w:val="26"/>
          <w:szCs w:val="26"/>
          <w:lang w:eastAsia="fr-FR"/>
        </w:rPr>
        <w:t xml:space="preserve"> </w:t>
      </w:r>
      <w:r w:rsidRPr="00032979">
        <w:rPr>
          <w:rFonts w:ascii="Times New Roman" w:eastAsiaTheme="minorEastAsia" w:hAnsi="Times New Roman" w:cs="Times New Roman"/>
          <w:b/>
          <w:sz w:val="26"/>
          <w:szCs w:val="26"/>
          <w:u w:val="single"/>
          <w:lang w:eastAsia="fr-FR"/>
        </w:rPr>
        <w:t xml:space="preserve">En </w:t>
      </w:r>
      <w:r w:rsidR="009477F1">
        <w:rPr>
          <w:rFonts w:ascii="Times New Roman" w:eastAsiaTheme="minorEastAsia" w:hAnsi="Times New Roman" w:cs="Times New Roman"/>
          <w:b/>
          <w:sz w:val="26"/>
          <w:szCs w:val="26"/>
          <w:u w:val="single"/>
          <w:lang w:eastAsia="fr-FR"/>
        </w:rPr>
        <w:t>deuxième</w:t>
      </w:r>
      <w:r w:rsidRPr="00032979">
        <w:rPr>
          <w:rFonts w:ascii="Times New Roman" w:eastAsiaTheme="minorEastAsia" w:hAnsi="Times New Roman" w:cs="Times New Roman"/>
          <w:b/>
          <w:sz w:val="26"/>
          <w:szCs w:val="26"/>
          <w:u w:val="single"/>
          <w:lang w:eastAsia="fr-FR"/>
        </w:rPr>
        <w:t xml:space="preserve"> lieu</w:t>
      </w:r>
      <w:r>
        <w:rPr>
          <w:rFonts w:ascii="Times New Roman" w:eastAsiaTheme="minorEastAsia" w:hAnsi="Times New Roman" w:cs="Times New Roman"/>
          <w:bCs/>
          <w:sz w:val="26"/>
          <w:szCs w:val="26"/>
          <w:lang w:eastAsia="fr-FR"/>
        </w:rPr>
        <w:t xml:space="preserve">, </w:t>
      </w:r>
      <w:r w:rsidR="009477F1">
        <w:rPr>
          <w:rFonts w:ascii="Times New Roman" w:eastAsiaTheme="minorEastAsia" w:hAnsi="Times New Roman" w:cs="Times New Roman"/>
          <w:bCs/>
          <w:sz w:val="26"/>
          <w:szCs w:val="26"/>
          <w:lang w:eastAsia="fr-FR"/>
        </w:rPr>
        <w:t>il appartenait au tribunal de se prononcer, dans un premier temps, sur le point de savoir si les dispositions spéciales de la loi du 18 novembre 2016, et plus particulièrement son article 3, pouvaient légalement fonder les conclusions de l’association « Ouvre-boîte » et, à défaut et dans un second temps, si le droit commun du livre III du code des relations entre le public et l’administration étaient de nature à y pourvoir</w:t>
      </w:r>
      <w:r w:rsidR="008A4AC7">
        <w:rPr>
          <w:rFonts w:ascii="Times New Roman" w:eastAsiaTheme="minorEastAsia" w:hAnsi="Times New Roman" w:cs="Times New Roman"/>
          <w:bCs/>
          <w:sz w:val="26"/>
          <w:szCs w:val="26"/>
          <w:lang w:eastAsia="fr-FR"/>
        </w:rPr>
        <w:t xml:space="preserve"> (de manière supplétive)</w:t>
      </w:r>
      <w:r w:rsidR="009477F1">
        <w:rPr>
          <w:rFonts w:ascii="Times New Roman" w:eastAsiaTheme="minorEastAsia" w:hAnsi="Times New Roman" w:cs="Times New Roman"/>
          <w:bCs/>
          <w:sz w:val="26"/>
          <w:szCs w:val="26"/>
          <w:lang w:eastAsia="fr-FR"/>
        </w:rPr>
        <w:t>.</w:t>
      </w:r>
    </w:p>
    <w:p w14:paraId="7A5A4969" w14:textId="2F129B27" w:rsidR="009477F1" w:rsidRDefault="009477F1" w:rsidP="009477F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9477F1">
        <w:rPr>
          <w:rFonts w:ascii="Times New Roman" w:eastAsiaTheme="minorEastAsia" w:hAnsi="Times New Roman" w:cs="Times New Roman"/>
          <w:b/>
          <w:sz w:val="26"/>
          <w:szCs w:val="26"/>
          <w:lang w:eastAsia="fr-FR"/>
        </w:rPr>
        <w:lastRenderedPageBreak/>
        <w:t>12.</w:t>
      </w:r>
      <w:r>
        <w:rPr>
          <w:rFonts w:ascii="Times New Roman" w:eastAsiaTheme="minorEastAsia" w:hAnsi="Times New Roman" w:cs="Times New Roman"/>
          <w:bCs/>
          <w:sz w:val="26"/>
          <w:szCs w:val="26"/>
          <w:lang w:eastAsia="fr-FR"/>
        </w:rPr>
        <w:t xml:space="preserve"> L’association exposante se prévalaient en effet, à titre principal, des dispositions de l’article 3 de la loi du 18 novembre 2016, aux termes desquelles</w:t>
      </w:r>
      <w:r w:rsidR="008A4AC7">
        <w:rPr>
          <w:rFonts w:ascii="Times New Roman" w:eastAsiaTheme="minorEastAsia" w:hAnsi="Times New Roman" w:cs="Times New Roman"/>
          <w:bCs/>
          <w:sz w:val="26"/>
          <w:szCs w:val="26"/>
          <w:lang w:eastAsia="fr-FR"/>
        </w:rPr>
        <w:t> :</w:t>
      </w:r>
    </w:p>
    <w:p w14:paraId="3052FAA0" w14:textId="6F007099" w:rsidR="008A4AC7" w:rsidRPr="008A4AC7" w:rsidRDefault="008A4AC7" w:rsidP="008A4AC7">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8A4AC7">
        <w:rPr>
          <w:rFonts w:ascii="Times New Roman" w:eastAsiaTheme="minorEastAsia" w:hAnsi="Times New Roman" w:cs="Times New Roman"/>
          <w:bCs/>
          <w:sz w:val="24"/>
          <w:szCs w:val="24"/>
          <w:lang w:eastAsia="fr-FR"/>
        </w:rPr>
        <w:t>« I - Les huissiers de justice, les notaires, les commissaires-priseurs judiciaires, les avocats, les avocats au Conseil d’Etat et à la Cour de cassation, les commissaires aux comptes et les experts comptables proposent à leur clientèle une relation numérique dans un format garantissant l’interopérabilité de l’ensemble des échanges.</w:t>
      </w:r>
    </w:p>
    <w:p w14:paraId="7EEC9AEF" w14:textId="266B170E" w:rsidR="008A4AC7" w:rsidRPr="008A4AC7" w:rsidRDefault="008A4AC7" w:rsidP="008A4AC7">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8A4AC7">
        <w:rPr>
          <w:rFonts w:ascii="Times New Roman" w:eastAsiaTheme="minorEastAsia" w:hAnsi="Times New Roman" w:cs="Times New Roman"/>
          <w:bCs/>
          <w:sz w:val="24"/>
          <w:szCs w:val="24"/>
          <w:lang w:eastAsia="fr-FR"/>
        </w:rPr>
        <w:t xml:space="preserve">II - </w:t>
      </w:r>
      <w:r w:rsidRPr="008A4AC7">
        <w:rPr>
          <w:rFonts w:ascii="Times New Roman" w:eastAsiaTheme="minorEastAsia" w:hAnsi="Times New Roman" w:cs="Times New Roman"/>
          <w:bCs/>
          <w:sz w:val="24"/>
          <w:szCs w:val="24"/>
          <w:u w:val="single"/>
          <w:lang w:eastAsia="fr-FR"/>
        </w:rPr>
        <w:t>Les professions mentionnées au I rendent librement accessibles les données figurant dans leurs annuaires et tables nationales</w:t>
      </w:r>
      <w:r w:rsidRPr="008A4AC7">
        <w:rPr>
          <w:rFonts w:ascii="Times New Roman" w:eastAsiaTheme="minorEastAsia" w:hAnsi="Times New Roman" w:cs="Times New Roman"/>
          <w:bCs/>
          <w:sz w:val="24"/>
          <w:szCs w:val="24"/>
          <w:lang w:eastAsia="fr-FR"/>
        </w:rPr>
        <w:t xml:space="preserve"> de manière à garantir cette interopérabilité, notamment </w:t>
      </w:r>
      <w:r w:rsidRPr="008A4AC7">
        <w:rPr>
          <w:rFonts w:ascii="Times New Roman" w:eastAsiaTheme="minorEastAsia" w:hAnsi="Times New Roman" w:cs="Times New Roman"/>
          <w:bCs/>
          <w:sz w:val="24"/>
          <w:szCs w:val="24"/>
          <w:u w:val="single"/>
          <w:lang w:eastAsia="fr-FR"/>
        </w:rPr>
        <w:t>au moyen d’un standard ouvert et réutilisable, exploitable par un traitement automatisé</w:t>
      </w:r>
      <w:r w:rsidRPr="008A4AC7">
        <w:rPr>
          <w:rFonts w:ascii="Times New Roman" w:eastAsiaTheme="minorEastAsia" w:hAnsi="Times New Roman" w:cs="Times New Roman"/>
          <w:bCs/>
          <w:sz w:val="24"/>
          <w:szCs w:val="24"/>
          <w:lang w:eastAsia="fr-FR"/>
        </w:rPr>
        <w:t> »</w:t>
      </w:r>
    </w:p>
    <w:p w14:paraId="48301D46" w14:textId="5D74DEAB" w:rsidR="008A4AC7" w:rsidRDefault="008A4AC7"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Les termes de cet article sont parfaitement clairs et obligent les avocats à rendre les données figurant dans leurs annuaires - celui du CNB mais également ceux des différents ordres - librement consultables et réutilisables.</w:t>
      </w:r>
    </w:p>
    <w:p w14:paraId="22AE8EDE" w14:textId="77777777" w:rsidR="00930011" w:rsidRDefault="008A4AC7"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Le tribunal administratif a cependant considéré, en se référant aux travaux préparatoires de la loi, que ces dispositions n’avaient pas pour objet de mettre à la charge du CNB une obligation de publier en ligne l’annuaire national des </w:t>
      </w:r>
      <w:r w:rsidR="00930011">
        <w:rPr>
          <w:rFonts w:ascii="Times New Roman" w:eastAsiaTheme="minorEastAsia" w:hAnsi="Times New Roman" w:cs="Times New Roman"/>
          <w:bCs/>
          <w:sz w:val="26"/>
          <w:szCs w:val="26"/>
          <w:lang w:eastAsia="fr-FR"/>
        </w:rPr>
        <w:t>avocats dans un format ouvert et réutilisable (point 6 du jugement attaqué).</w:t>
      </w:r>
    </w:p>
    <w:p w14:paraId="5C6391AC" w14:textId="77777777" w:rsidR="00930011" w:rsidRDefault="00930011"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D4A3018" w14:textId="77777777" w:rsidR="00930011" w:rsidRDefault="00930011" w:rsidP="0093001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930011">
        <w:rPr>
          <w:rFonts w:ascii="Times New Roman" w:eastAsiaTheme="minorEastAsia" w:hAnsi="Times New Roman" w:cs="Times New Roman"/>
          <w:b/>
          <w:sz w:val="26"/>
          <w:szCs w:val="26"/>
          <w:lang w:eastAsia="fr-FR"/>
        </w:rPr>
        <w:t>13.</w:t>
      </w:r>
      <w:r>
        <w:rPr>
          <w:rFonts w:ascii="Times New Roman" w:eastAsiaTheme="minorEastAsia" w:hAnsi="Times New Roman" w:cs="Times New Roman"/>
          <w:bCs/>
          <w:sz w:val="26"/>
          <w:szCs w:val="26"/>
          <w:lang w:eastAsia="fr-FR"/>
        </w:rPr>
        <w:t xml:space="preserve"> Mais, </w:t>
      </w:r>
      <w:r w:rsidRPr="00930011">
        <w:rPr>
          <w:rFonts w:ascii="Times New Roman" w:eastAsiaTheme="minorEastAsia" w:hAnsi="Times New Roman" w:cs="Times New Roman"/>
          <w:bCs/>
          <w:sz w:val="26"/>
          <w:szCs w:val="26"/>
          <w:u w:val="single"/>
          <w:lang w:eastAsia="fr-FR"/>
        </w:rPr>
        <w:t>d’une part</w:t>
      </w:r>
      <w:r>
        <w:rPr>
          <w:rFonts w:ascii="Times New Roman" w:eastAsiaTheme="minorEastAsia" w:hAnsi="Times New Roman" w:cs="Times New Roman"/>
          <w:bCs/>
          <w:sz w:val="26"/>
          <w:szCs w:val="26"/>
          <w:lang w:eastAsia="fr-FR"/>
        </w:rPr>
        <w:t>, ce motif est entaché d’</w:t>
      </w:r>
      <w:r w:rsidRPr="00A57B85">
        <w:rPr>
          <w:rFonts w:ascii="Times New Roman" w:eastAsiaTheme="minorEastAsia" w:hAnsi="Times New Roman" w:cs="Times New Roman"/>
          <w:b/>
          <w:sz w:val="26"/>
          <w:szCs w:val="26"/>
          <w:u w:val="single"/>
          <w:lang w:eastAsia="fr-FR"/>
        </w:rPr>
        <w:t xml:space="preserve">insuffisance de motivation </w:t>
      </w:r>
      <w:r>
        <w:rPr>
          <w:rFonts w:ascii="Times New Roman" w:eastAsiaTheme="minorEastAsia" w:hAnsi="Times New Roman" w:cs="Times New Roman"/>
          <w:bCs/>
          <w:sz w:val="26"/>
          <w:szCs w:val="26"/>
          <w:lang w:eastAsia="fr-FR"/>
        </w:rPr>
        <w:t>et d’</w:t>
      </w:r>
      <w:r w:rsidRPr="00A57B85">
        <w:rPr>
          <w:rFonts w:ascii="Times New Roman" w:eastAsiaTheme="minorEastAsia" w:hAnsi="Times New Roman" w:cs="Times New Roman"/>
          <w:b/>
          <w:sz w:val="26"/>
          <w:szCs w:val="26"/>
          <w:u w:val="single"/>
          <w:lang w:eastAsia="fr-FR"/>
        </w:rPr>
        <w:t>erreur de droit</w:t>
      </w:r>
      <w:r w:rsidRPr="00A57B85">
        <w:rPr>
          <w:rFonts w:ascii="Times New Roman" w:eastAsiaTheme="minorEastAsia" w:hAnsi="Times New Roman" w:cs="Times New Roman"/>
          <w:b/>
          <w:sz w:val="26"/>
          <w:szCs w:val="26"/>
          <w:lang w:eastAsia="fr-FR"/>
        </w:rPr>
        <w:t xml:space="preserve"> </w:t>
      </w:r>
      <w:r>
        <w:rPr>
          <w:rFonts w:ascii="Times New Roman" w:eastAsiaTheme="minorEastAsia" w:hAnsi="Times New Roman" w:cs="Times New Roman"/>
          <w:bCs/>
          <w:sz w:val="26"/>
          <w:szCs w:val="26"/>
          <w:lang w:eastAsia="fr-FR"/>
        </w:rPr>
        <w:t xml:space="preserve">dès lors qu’on ne comprend pas, à la seule lecture du jugement, pourquoi l’article 3 n’aurait pas, nonobstant ses termes clairs, un tel objet ? </w:t>
      </w:r>
    </w:p>
    <w:p w14:paraId="3D16667C" w14:textId="3358A571" w:rsidR="008A4AC7" w:rsidRDefault="00930011" w:rsidP="0093001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Pourquoi le législateur aurait-il expressément prévu de rendre librement accessibles les données de l’annuaire national des avocats dans un format ouvert et </w:t>
      </w:r>
      <w:r w:rsidR="005350F8">
        <w:rPr>
          <w:rFonts w:ascii="Times New Roman" w:eastAsiaTheme="minorEastAsia" w:hAnsi="Times New Roman" w:cs="Times New Roman"/>
          <w:bCs/>
          <w:sz w:val="26"/>
          <w:szCs w:val="26"/>
          <w:lang w:eastAsia="fr-FR"/>
        </w:rPr>
        <w:t>aisément réutilisable et exploitable par un système de traitement automatisé</w:t>
      </w:r>
      <w:r>
        <w:rPr>
          <w:rFonts w:ascii="Times New Roman" w:eastAsiaTheme="minorEastAsia" w:hAnsi="Times New Roman" w:cs="Times New Roman"/>
          <w:bCs/>
          <w:sz w:val="26"/>
          <w:szCs w:val="26"/>
          <w:lang w:eastAsia="fr-FR"/>
        </w:rPr>
        <w:t xml:space="preserve"> (art. 3</w:t>
      </w:r>
      <w:r w:rsidR="005350F8">
        <w:rPr>
          <w:rFonts w:ascii="Times New Roman" w:eastAsiaTheme="minorEastAsia" w:hAnsi="Times New Roman" w:cs="Times New Roman"/>
          <w:bCs/>
          <w:sz w:val="26"/>
          <w:szCs w:val="26"/>
          <w:lang w:eastAsia="fr-FR"/>
        </w:rPr>
        <w:t xml:space="preserve"> de la loi du 18 novembre 2016, qui reprend la formule de l’article L. 300-4 du CRPA</w:t>
      </w:r>
      <w:r>
        <w:rPr>
          <w:rFonts w:ascii="Times New Roman" w:eastAsiaTheme="minorEastAsia" w:hAnsi="Times New Roman" w:cs="Times New Roman"/>
          <w:bCs/>
          <w:sz w:val="26"/>
          <w:szCs w:val="26"/>
          <w:lang w:eastAsia="fr-FR"/>
        </w:rPr>
        <w:t>) mais</w:t>
      </w:r>
      <w:r w:rsidR="005350F8">
        <w:rPr>
          <w:rFonts w:ascii="Times New Roman" w:eastAsiaTheme="minorEastAsia" w:hAnsi="Times New Roman" w:cs="Times New Roman"/>
          <w:bCs/>
          <w:sz w:val="26"/>
          <w:szCs w:val="26"/>
          <w:lang w:eastAsia="fr-FR"/>
        </w:rPr>
        <w:t>, dans le même temps,</w:t>
      </w:r>
      <w:r>
        <w:rPr>
          <w:rFonts w:ascii="Times New Roman" w:eastAsiaTheme="minorEastAsia" w:hAnsi="Times New Roman" w:cs="Times New Roman"/>
          <w:bCs/>
          <w:sz w:val="26"/>
          <w:szCs w:val="26"/>
          <w:lang w:eastAsia="fr-FR"/>
        </w:rPr>
        <w:t xml:space="preserve"> n’aurait pas imposé une telle obligation </w:t>
      </w:r>
      <w:r w:rsidR="005350F8">
        <w:rPr>
          <w:rFonts w:ascii="Times New Roman" w:eastAsiaTheme="minorEastAsia" w:hAnsi="Times New Roman" w:cs="Times New Roman"/>
          <w:bCs/>
          <w:sz w:val="26"/>
          <w:szCs w:val="26"/>
          <w:lang w:eastAsia="fr-FR"/>
        </w:rPr>
        <w:t>au CNB chargé d’établir cet annuaire (art. 21-1 de la loi du 31 décembre 1971 issu de l’article 22 de la loi du 18 novembre 2016) ?</w:t>
      </w:r>
    </w:p>
    <w:p w14:paraId="6ACFA49C" w14:textId="0F0A0540" w:rsidR="005350F8" w:rsidRDefault="005350F8" w:rsidP="0093001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Cela n’a aucun sens.</w:t>
      </w:r>
    </w:p>
    <w:p w14:paraId="0E780F85" w14:textId="0009D486" w:rsidR="005350F8" w:rsidRDefault="005350F8" w:rsidP="0093001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142AC14B" w14:textId="47461EF5" w:rsidR="005350F8" w:rsidRDefault="005350F8" w:rsidP="0093001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681E73CA" w14:textId="77777777" w:rsidR="005350F8" w:rsidRDefault="005350F8" w:rsidP="0093001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36C7DFE" w14:textId="77777777" w:rsidR="005350F8" w:rsidRDefault="005350F8" w:rsidP="00930011">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5350F8">
        <w:rPr>
          <w:rFonts w:ascii="Times New Roman" w:eastAsiaTheme="minorEastAsia" w:hAnsi="Times New Roman" w:cs="Times New Roman"/>
          <w:b/>
          <w:sz w:val="26"/>
          <w:szCs w:val="26"/>
          <w:lang w:eastAsia="fr-FR"/>
        </w:rPr>
        <w:lastRenderedPageBreak/>
        <w:t>14.</w:t>
      </w:r>
      <w:r>
        <w:rPr>
          <w:rFonts w:ascii="Times New Roman" w:eastAsiaTheme="minorEastAsia" w:hAnsi="Times New Roman" w:cs="Times New Roman"/>
          <w:bCs/>
          <w:sz w:val="26"/>
          <w:szCs w:val="26"/>
          <w:lang w:eastAsia="fr-FR"/>
        </w:rPr>
        <w:t xml:space="preserve"> </w:t>
      </w:r>
      <w:r w:rsidRPr="005350F8">
        <w:rPr>
          <w:rFonts w:ascii="Times New Roman" w:eastAsiaTheme="minorEastAsia" w:hAnsi="Times New Roman" w:cs="Times New Roman"/>
          <w:bCs/>
          <w:sz w:val="26"/>
          <w:szCs w:val="26"/>
          <w:u w:val="single"/>
          <w:lang w:eastAsia="fr-FR"/>
        </w:rPr>
        <w:t>D’autre part</w:t>
      </w:r>
      <w:r>
        <w:rPr>
          <w:rFonts w:ascii="Times New Roman" w:eastAsiaTheme="minorEastAsia" w:hAnsi="Times New Roman" w:cs="Times New Roman"/>
          <w:bCs/>
          <w:sz w:val="26"/>
          <w:szCs w:val="26"/>
          <w:lang w:eastAsia="fr-FR"/>
        </w:rPr>
        <w:t>, il n’est peut-être pas inutile de rappeler, avec le président Odent, que :</w:t>
      </w:r>
    </w:p>
    <w:p w14:paraId="7CFDB007" w14:textId="742A34C3" w:rsidR="005350F8" w:rsidRPr="005350F8" w:rsidRDefault="005350F8" w:rsidP="005350F8">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5350F8">
        <w:rPr>
          <w:rFonts w:ascii="Times New Roman" w:eastAsiaTheme="minorEastAsia" w:hAnsi="Times New Roman" w:cs="Times New Roman"/>
          <w:bCs/>
          <w:sz w:val="24"/>
          <w:szCs w:val="24"/>
          <w:lang w:eastAsia="fr-FR"/>
        </w:rPr>
        <w:t xml:space="preserve">« lorsqu’un texte est clair, c’est-à-dire lorsque, compte tenu des règles de la grammaire, de la sémantique et de la syntaxe, son sens ne peut prêter à aucune discussion et lorsqu’en outre ses dispositions ne sont en contradiction avec aucune autre disposition en vigueur ayant valeur juridique au moins égale, le juge administratif ne se livre à aucune fantaisie interprétative ; il applique strictement ce texte, sans tenir compte ni des travaux préparatoires, ni de l’objectif du législateur » (R. Odent, </w:t>
      </w:r>
      <w:r w:rsidRPr="005350F8">
        <w:rPr>
          <w:rFonts w:ascii="Times New Roman" w:eastAsiaTheme="minorEastAsia" w:hAnsi="Times New Roman" w:cs="Times New Roman"/>
          <w:bCs/>
          <w:i/>
          <w:iCs/>
          <w:sz w:val="24"/>
          <w:szCs w:val="24"/>
          <w:lang w:eastAsia="fr-FR"/>
        </w:rPr>
        <w:t>Contentieux administratif</w:t>
      </w:r>
      <w:r w:rsidRPr="005350F8">
        <w:rPr>
          <w:rFonts w:ascii="Times New Roman" w:eastAsiaTheme="minorEastAsia" w:hAnsi="Times New Roman" w:cs="Times New Roman"/>
          <w:bCs/>
          <w:sz w:val="24"/>
          <w:szCs w:val="24"/>
          <w:lang w:eastAsia="fr-FR"/>
        </w:rPr>
        <w:t>, Dalloz, 2007, tome 1, p. 348).</w:t>
      </w:r>
    </w:p>
    <w:p w14:paraId="5D05640A" w14:textId="6ABA8191" w:rsidR="00930011" w:rsidRDefault="005350F8" w:rsidP="00A57B85">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Or, précisément, les termes de l’article 3 de la loi du 18 novembre 2016 étaient suffisamment clairs sur l’obligation de rendre librement accessibles les données figurant dans l’annuaire national des avocats dans un format ouvert et réutilisable, </w:t>
      </w:r>
      <w:r w:rsidR="007E0AB9">
        <w:rPr>
          <w:rFonts w:ascii="Times New Roman" w:eastAsiaTheme="minorEastAsia" w:hAnsi="Times New Roman" w:cs="Times New Roman"/>
          <w:bCs/>
          <w:sz w:val="26"/>
          <w:szCs w:val="26"/>
          <w:lang w:eastAsia="fr-FR"/>
        </w:rPr>
        <w:t xml:space="preserve">pour qu’il ne soit pas nécessaire faire œuvre de fantaisie interprétative en </w:t>
      </w:r>
      <w:r w:rsidR="00765028">
        <w:rPr>
          <w:rFonts w:ascii="Times New Roman" w:eastAsiaTheme="minorEastAsia" w:hAnsi="Times New Roman" w:cs="Times New Roman"/>
          <w:bCs/>
          <w:sz w:val="26"/>
          <w:szCs w:val="26"/>
          <w:lang w:eastAsia="fr-FR"/>
        </w:rPr>
        <w:t>se référant</w:t>
      </w:r>
      <w:r w:rsidR="007E0AB9">
        <w:rPr>
          <w:rFonts w:ascii="Times New Roman" w:eastAsiaTheme="minorEastAsia" w:hAnsi="Times New Roman" w:cs="Times New Roman"/>
          <w:bCs/>
          <w:sz w:val="26"/>
          <w:szCs w:val="26"/>
          <w:lang w:eastAsia="fr-FR"/>
        </w:rPr>
        <w:t xml:space="preserve"> </w:t>
      </w:r>
      <w:r w:rsidR="00765028">
        <w:rPr>
          <w:rFonts w:ascii="Times New Roman" w:eastAsiaTheme="minorEastAsia" w:hAnsi="Times New Roman" w:cs="Times New Roman"/>
          <w:bCs/>
          <w:sz w:val="26"/>
          <w:szCs w:val="26"/>
          <w:lang w:eastAsia="fr-FR"/>
        </w:rPr>
        <w:t>aux</w:t>
      </w:r>
      <w:r w:rsidR="007E0AB9">
        <w:rPr>
          <w:rFonts w:ascii="Times New Roman" w:eastAsiaTheme="minorEastAsia" w:hAnsi="Times New Roman" w:cs="Times New Roman"/>
          <w:bCs/>
          <w:sz w:val="26"/>
          <w:szCs w:val="26"/>
          <w:lang w:eastAsia="fr-FR"/>
        </w:rPr>
        <w:t xml:space="preserve"> travaux préparatoires de cette loi.</w:t>
      </w:r>
      <w:r w:rsidR="00A57B85">
        <w:rPr>
          <w:rFonts w:ascii="Times New Roman" w:eastAsiaTheme="minorEastAsia" w:hAnsi="Times New Roman" w:cs="Times New Roman"/>
          <w:bCs/>
          <w:sz w:val="26"/>
          <w:szCs w:val="26"/>
          <w:lang w:eastAsia="fr-FR"/>
        </w:rPr>
        <w:t xml:space="preserve"> Il y a là une autre </w:t>
      </w:r>
      <w:r w:rsidR="00A57B85" w:rsidRPr="00A57B85">
        <w:rPr>
          <w:rFonts w:ascii="Times New Roman" w:eastAsiaTheme="minorEastAsia" w:hAnsi="Times New Roman" w:cs="Times New Roman"/>
          <w:b/>
          <w:sz w:val="26"/>
          <w:szCs w:val="26"/>
          <w:u w:val="single"/>
          <w:lang w:eastAsia="fr-FR"/>
        </w:rPr>
        <w:t>erreur de droit</w:t>
      </w:r>
      <w:r w:rsidR="00A57B85">
        <w:rPr>
          <w:rFonts w:ascii="Times New Roman" w:eastAsiaTheme="minorEastAsia" w:hAnsi="Times New Roman" w:cs="Times New Roman"/>
          <w:bCs/>
          <w:sz w:val="26"/>
          <w:szCs w:val="26"/>
          <w:lang w:eastAsia="fr-FR"/>
        </w:rPr>
        <w:t>.</w:t>
      </w:r>
    </w:p>
    <w:p w14:paraId="0D56E5D9" w14:textId="59BC78F7" w:rsidR="007E0AB9" w:rsidRDefault="007E0AB9" w:rsidP="00A57B85">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p>
    <w:p w14:paraId="2E799258" w14:textId="1062E005" w:rsidR="007E0AB9" w:rsidRDefault="007E0AB9" w:rsidP="00A57B85">
      <w:pPr>
        <w:tabs>
          <w:tab w:val="left" w:pos="1701"/>
        </w:tabs>
        <w:spacing w:before="60" w:after="60" w:line="240" w:lineRule="auto"/>
        <w:ind w:left="567" w:right="6"/>
        <w:jc w:val="both"/>
        <w:rPr>
          <w:rFonts w:ascii="Times New Roman" w:eastAsiaTheme="minorEastAsia" w:hAnsi="Times New Roman" w:cs="Times New Roman"/>
          <w:bCs/>
          <w:sz w:val="26"/>
          <w:szCs w:val="26"/>
          <w:lang w:eastAsia="fr-FR"/>
        </w:rPr>
      </w:pPr>
      <w:r w:rsidRPr="007E0AB9">
        <w:rPr>
          <w:rFonts w:ascii="Times New Roman" w:eastAsiaTheme="minorEastAsia" w:hAnsi="Times New Roman" w:cs="Times New Roman"/>
          <w:b/>
          <w:sz w:val="26"/>
          <w:szCs w:val="26"/>
          <w:lang w:eastAsia="fr-FR"/>
        </w:rPr>
        <w:t>15.</w:t>
      </w:r>
      <w:r>
        <w:rPr>
          <w:rFonts w:ascii="Times New Roman" w:eastAsiaTheme="minorEastAsia" w:hAnsi="Times New Roman" w:cs="Times New Roman"/>
          <w:bCs/>
          <w:sz w:val="26"/>
          <w:szCs w:val="26"/>
          <w:lang w:eastAsia="fr-FR"/>
        </w:rPr>
        <w:t xml:space="preserve"> </w:t>
      </w:r>
      <w:r w:rsidRPr="00FF56F5">
        <w:rPr>
          <w:rFonts w:ascii="Times New Roman" w:eastAsiaTheme="minorEastAsia" w:hAnsi="Times New Roman" w:cs="Times New Roman"/>
          <w:bCs/>
          <w:sz w:val="26"/>
          <w:szCs w:val="26"/>
          <w:u w:val="single"/>
          <w:lang w:eastAsia="fr-FR"/>
        </w:rPr>
        <w:t>Enfin, en tout état de cause</w:t>
      </w:r>
      <w:r>
        <w:rPr>
          <w:rFonts w:ascii="Times New Roman" w:eastAsiaTheme="minorEastAsia" w:hAnsi="Times New Roman" w:cs="Times New Roman"/>
          <w:bCs/>
          <w:sz w:val="26"/>
          <w:szCs w:val="26"/>
          <w:lang w:eastAsia="fr-FR"/>
        </w:rPr>
        <w:t xml:space="preserve">, </w:t>
      </w:r>
      <w:r w:rsidR="00765028">
        <w:rPr>
          <w:rFonts w:ascii="Times New Roman" w:eastAsiaTheme="minorEastAsia" w:hAnsi="Times New Roman" w:cs="Times New Roman"/>
          <w:bCs/>
          <w:sz w:val="26"/>
          <w:szCs w:val="26"/>
          <w:lang w:eastAsia="fr-FR"/>
        </w:rPr>
        <w:t>les travaux préparatoires de la loi du 18 novembre 2016 révélaient clairement que la volonté du législateur était bien de rendre librement accessibles les données de l’annuaire national des avocats dans un format ouvert et réutilisable</w:t>
      </w:r>
      <w:r w:rsidR="00FF56F5">
        <w:rPr>
          <w:rFonts w:ascii="Times New Roman" w:eastAsiaTheme="minorEastAsia" w:hAnsi="Times New Roman" w:cs="Times New Roman"/>
          <w:bCs/>
          <w:sz w:val="26"/>
          <w:szCs w:val="26"/>
          <w:lang w:eastAsia="fr-FR"/>
        </w:rPr>
        <w:t>, afin notamment d’établir une relation numérique avec les clients (art. 3), et d’imposer au CNB de publier cet annuaire en ligne (art. 22).</w:t>
      </w:r>
    </w:p>
    <w:p w14:paraId="62711CE0" w14:textId="4CB07786" w:rsidR="00765028" w:rsidRDefault="00765028" w:rsidP="0076502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765028">
        <w:rPr>
          <w:rFonts w:ascii="Times New Roman" w:eastAsiaTheme="minorEastAsia" w:hAnsi="Times New Roman" w:cs="Times New Roman"/>
          <w:bCs/>
          <w:sz w:val="26"/>
          <w:szCs w:val="26"/>
          <w:lang w:eastAsia="fr-FR"/>
        </w:rPr>
        <w:t>Ce</w:t>
      </w:r>
      <w:r w:rsidR="00FF56F5">
        <w:rPr>
          <w:rFonts w:ascii="Times New Roman" w:eastAsiaTheme="minorEastAsia" w:hAnsi="Times New Roman" w:cs="Times New Roman"/>
          <w:bCs/>
          <w:sz w:val="26"/>
          <w:szCs w:val="26"/>
          <w:lang w:eastAsia="fr-FR"/>
        </w:rPr>
        <w:t xml:space="preserve"> dernier</w:t>
      </w:r>
      <w:r w:rsidRPr="00765028">
        <w:rPr>
          <w:rFonts w:ascii="Times New Roman" w:eastAsiaTheme="minorEastAsia" w:hAnsi="Times New Roman" w:cs="Times New Roman"/>
          <w:bCs/>
          <w:sz w:val="26"/>
          <w:szCs w:val="26"/>
          <w:lang w:eastAsia="fr-FR"/>
        </w:rPr>
        <w:t xml:space="preserve"> texte a</w:t>
      </w:r>
      <w:r w:rsidR="00FF56F5">
        <w:rPr>
          <w:rFonts w:ascii="Times New Roman" w:eastAsiaTheme="minorEastAsia" w:hAnsi="Times New Roman" w:cs="Times New Roman"/>
          <w:bCs/>
          <w:sz w:val="26"/>
          <w:szCs w:val="26"/>
          <w:lang w:eastAsia="fr-FR"/>
        </w:rPr>
        <w:t>vait ainsi</w:t>
      </w:r>
      <w:r w:rsidRPr="00765028">
        <w:rPr>
          <w:rFonts w:ascii="Times New Roman" w:eastAsiaTheme="minorEastAsia" w:hAnsi="Times New Roman" w:cs="Times New Roman"/>
          <w:bCs/>
          <w:sz w:val="26"/>
          <w:szCs w:val="26"/>
          <w:lang w:eastAsia="fr-FR"/>
        </w:rPr>
        <w:t xml:space="preserve"> été introduit en première lecture par la commission des lois constitutionnelles, de la législation et de l’administration générale de l’Assemblée nationale « pour améliorer l’organisation et le fonctionnement des juridictions [en confiant notamment] au CNB la mission d’établir un annuaire national des avocats, consultable sur internet</w:t>
      </w:r>
      <w:r w:rsidR="00FF56F5">
        <w:rPr>
          <w:rFonts w:ascii="Times New Roman" w:eastAsiaTheme="minorEastAsia" w:hAnsi="Times New Roman" w:cs="Times New Roman"/>
          <w:bCs/>
          <w:sz w:val="26"/>
          <w:szCs w:val="26"/>
          <w:lang w:eastAsia="fr-FR"/>
        </w:rPr>
        <w:t xml:space="preserve"> </w:t>
      </w:r>
      <w:r w:rsidRPr="00765028">
        <w:rPr>
          <w:rFonts w:ascii="Times New Roman" w:eastAsiaTheme="minorEastAsia" w:hAnsi="Times New Roman" w:cs="Times New Roman"/>
          <w:bCs/>
          <w:sz w:val="26"/>
          <w:szCs w:val="26"/>
          <w:lang w:eastAsia="fr-FR"/>
        </w:rPr>
        <w:t>» (Rapp. AN n° 3726 de MM. Clément et Le Bouillonnec, 6 mai 2016, p. 15-16).</w:t>
      </w:r>
      <w:r w:rsidR="00FF56F5">
        <w:rPr>
          <w:rFonts w:ascii="Times New Roman" w:eastAsiaTheme="minorEastAsia" w:hAnsi="Times New Roman" w:cs="Times New Roman"/>
          <w:bCs/>
          <w:sz w:val="26"/>
          <w:szCs w:val="26"/>
          <w:lang w:eastAsia="fr-FR"/>
        </w:rPr>
        <w:t xml:space="preserve"> </w:t>
      </w:r>
      <w:r w:rsidRPr="00765028">
        <w:rPr>
          <w:rFonts w:ascii="Times New Roman" w:eastAsiaTheme="minorEastAsia" w:hAnsi="Times New Roman" w:cs="Times New Roman"/>
          <w:bCs/>
          <w:sz w:val="26"/>
          <w:szCs w:val="26"/>
          <w:lang w:eastAsia="fr-FR"/>
        </w:rPr>
        <w:t>Et ce même rapport précis</w:t>
      </w:r>
      <w:r w:rsidR="00FF56F5">
        <w:rPr>
          <w:rFonts w:ascii="Times New Roman" w:eastAsiaTheme="minorEastAsia" w:hAnsi="Times New Roman" w:cs="Times New Roman"/>
          <w:bCs/>
          <w:sz w:val="26"/>
          <w:szCs w:val="26"/>
          <w:lang w:eastAsia="fr-FR"/>
        </w:rPr>
        <w:t>ait</w:t>
      </w:r>
      <w:r w:rsidRPr="00765028">
        <w:rPr>
          <w:rFonts w:ascii="Times New Roman" w:eastAsiaTheme="minorEastAsia" w:hAnsi="Times New Roman" w:cs="Times New Roman"/>
          <w:bCs/>
          <w:sz w:val="26"/>
          <w:szCs w:val="26"/>
          <w:lang w:eastAsia="fr-FR"/>
        </w:rPr>
        <w:t xml:space="preserve"> que « cet amendement vise à imposer aux conseils de l’ordre des avocats de communiquer au Conseil national des barreaux (CNB) la liste des avocats inscrits au tableau de l’ordre, ainsi que la mise à jour périodique de cette liste. En outre, </w:t>
      </w:r>
      <w:r w:rsidRPr="00765028">
        <w:rPr>
          <w:rFonts w:ascii="Times New Roman" w:eastAsiaTheme="minorEastAsia" w:hAnsi="Times New Roman" w:cs="Times New Roman"/>
          <w:bCs/>
          <w:sz w:val="26"/>
          <w:szCs w:val="26"/>
          <w:u w:val="single"/>
          <w:lang w:eastAsia="fr-FR"/>
        </w:rPr>
        <w:t>le CNB devra publier un annuaire en ligne</w:t>
      </w:r>
      <w:r w:rsidRPr="00765028">
        <w:rPr>
          <w:rFonts w:ascii="Times New Roman" w:eastAsiaTheme="minorEastAsia" w:hAnsi="Times New Roman" w:cs="Times New Roman"/>
          <w:bCs/>
          <w:sz w:val="26"/>
          <w:szCs w:val="26"/>
          <w:lang w:eastAsia="fr-FR"/>
        </w:rPr>
        <w:t> » (</w:t>
      </w:r>
      <w:r w:rsidRPr="00765028">
        <w:rPr>
          <w:rFonts w:ascii="Times New Roman" w:eastAsiaTheme="minorEastAsia" w:hAnsi="Times New Roman" w:cs="Times New Roman"/>
          <w:bCs/>
          <w:i/>
          <w:iCs/>
          <w:sz w:val="26"/>
          <w:szCs w:val="26"/>
          <w:lang w:eastAsia="fr-FR"/>
        </w:rPr>
        <w:t>ibid.</w:t>
      </w:r>
      <w:r w:rsidRPr="00765028">
        <w:rPr>
          <w:rFonts w:ascii="Times New Roman" w:eastAsiaTheme="minorEastAsia" w:hAnsi="Times New Roman" w:cs="Times New Roman"/>
          <w:bCs/>
          <w:sz w:val="26"/>
          <w:szCs w:val="26"/>
          <w:lang w:eastAsia="fr-FR"/>
        </w:rPr>
        <w:t>, p. 166).</w:t>
      </w:r>
    </w:p>
    <w:p w14:paraId="28E640C0" w14:textId="1C94F3D9" w:rsidR="00FF56F5" w:rsidRDefault="00FF56F5" w:rsidP="0076502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Et il allait de soi que cette publication en ligne devait être faite dans un format ouvert, réutilisable et exploitable par un système de traitement automatisé, comme le veut désormais le principe (CRPA, art. L. 300-4) auquel il ne peut être dérogé que de manière expresse.</w:t>
      </w:r>
    </w:p>
    <w:p w14:paraId="195B8348" w14:textId="100982E7" w:rsidR="00FF56F5" w:rsidRDefault="00FF56F5" w:rsidP="00765028">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De quelque point de vue que l’on se place, le jugement attaqué est entaché d’</w:t>
      </w:r>
      <w:r w:rsidRPr="00A57B85">
        <w:rPr>
          <w:rFonts w:ascii="Times New Roman" w:eastAsiaTheme="minorEastAsia" w:hAnsi="Times New Roman" w:cs="Times New Roman"/>
          <w:b/>
          <w:sz w:val="26"/>
          <w:szCs w:val="26"/>
          <w:u w:val="single"/>
          <w:lang w:eastAsia="fr-FR"/>
        </w:rPr>
        <w:t>erreur de droit</w:t>
      </w:r>
      <w:r>
        <w:rPr>
          <w:rFonts w:ascii="Times New Roman" w:eastAsiaTheme="minorEastAsia" w:hAnsi="Times New Roman" w:cs="Times New Roman"/>
          <w:bCs/>
          <w:sz w:val="26"/>
          <w:szCs w:val="26"/>
          <w:lang w:eastAsia="fr-FR"/>
        </w:rPr>
        <w:t>.</w:t>
      </w:r>
    </w:p>
    <w:p w14:paraId="23E9DD67" w14:textId="57961343" w:rsidR="00765028" w:rsidRDefault="00FF56F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FF56F5">
        <w:rPr>
          <w:rFonts w:ascii="Times New Roman" w:eastAsiaTheme="minorEastAsia" w:hAnsi="Times New Roman" w:cs="Times New Roman"/>
          <w:b/>
          <w:sz w:val="26"/>
          <w:szCs w:val="26"/>
          <w:lang w:eastAsia="fr-FR"/>
        </w:rPr>
        <w:lastRenderedPageBreak/>
        <w:t>16.</w:t>
      </w:r>
      <w:r>
        <w:rPr>
          <w:rFonts w:ascii="Times New Roman" w:eastAsiaTheme="minorEastAsia" w:hAnsi="Times New Roman" w:cs="Times New Roman"/>
          <w:bCs/>
          <w:sz w:val="26"/>
          <w:szCs w:val="26"/>
          <w:lang w:eastAsia="fr-FR"/>
        </w:rPr>
        <w:t xml:space="preserve"> </w:t>
      </w:r>
      <w:r w:rsidRPr="00FF56F5">
        <w:rPr>
          <w:rFonts w:ascii="Times New Roman" w:eastAsiaTheme="minorEastAsia" w:hAnsi="Times New Roman" w:cs="Times New Roman"/>
          <w:b/>
          <w:sz w:val="26"/>
          <w:szCs w:val="26"/>
          <w:u w:val="single"/>
          <w:lang w:eastAsia="fr-FR"/>
        </w:rPr>
        <w:t>En troisième et dernier lieu</w:t>
      </w:r>
      <w:r>
        <w:rPr>
          <w:rFonts w:ascii="Times New Roman" w:eastAsiaTheme="minorEastAsia" w:hAnsi="Times New Roman" w:cs="Times New Roman"/>
          <w:bCs/>
          <w:sz w:val="26"/>
          <w:szCs w:val="26"/>
          <w:lang w:eastAsia="fr-FR"/>
        </w:rPr>
        <w:t>, à supposer même que les dispositions spéciales de la loi du 18 décembre 2016 n’avaient pas pour objet de mettre à la charge du CNB une obligation de publication en ligne de l’annuaire national des avocats - et accessoirement de la liste des personnes morales exerçant la profession d’avocats, qui en constitue le simple prolongement - dans un format ouvert et librement réutilisable et exploitable, comme le demandait l’association « Ouvre-boîte</w:t>
      </w:r>
      <w:r w:rsidR="0022743A">
        <w:rPr>
          <w:rFonts w:ascii="Times New Roman" w:eastAsiaTheme="minorEastAsia" w:hAnsi="Times New Roman" w:cs="Times New Roman"/>
          <w:bCs/>
          <w:sz w:val="26"/>
          <w:szCs w:val="26"/>
          <w:lang w:eastAsia="fr-FR"/>
        </w:rPr>
        <w:t> », le droit commun issu du livre III du code des relations entre le public et l’administration pouvait être utilement invoqué pour fonder une telle obligation.</w:t>
      </w:r>
    </w:p>
    <w:p w14:paraId="498AE578" w14:textId="77777777" w:rsidR="005350F8" w:rsidRDefault="005350F8"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09B933BC" w14:textId="15928040" w:rsidR="00032979" w:rsidRDefault="0022743A"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22743A">
        <w:rPr>
          <w:rFonts w:ascii="Times New Roman" w:eastAsiaTheme="minorEastAsia" w:hAnsi="Times New Roman" w:cs="Times New Roman"/>
          <w:b/>
          <w:sz w:val="26"/>
          <w:szCs w:val="26"/>
          <w:lang w:eastAsia="fr-FR"/>
        </w:rPr>
        <w:t>17.</w:t>
      </w:r>
      <w:r w:rsidR="009477F1">
        <w:rPr>
          <w:rFonts w:ascii="Times New Roman" w:eastAsiaTheme="minorEastAsia" w:hAnsi="Times New Roman" w:cs="Times New Roman"/>
          <w:bCs/>
          <w:sz w:val="26"/>
          <w:szCs w:val="26"/>
          <w:lang w:eastAsia="fr-FR"/>
        </w:rPr>
        <w:t xml:space="preserve"> </w:t>
      </w:r>
      <w:r>
        <w:rPr>
          <w:rFonts w:ascii="Times New Roman" w:eastAsiaTheme="minorEastAsia" w:hAnsi="Times New Roman" w:cs="Times New Roman"/>
          <w:bCs/>
          <w:sz w:val="26"/>
          <w:szCs w:val="26"/>
          <w:lang w:eastAsia="fr-FR"/>
        </w:rPr>
        <w:t>L</w:t>
      </w:r>
      <w:r w:rsidR="00032979">
        <w:rPr>
          <w:rFonts w:ascii="Times New Roman" w:eastAsiaTheme="minorEastAsia" w:hAnsi="Times New Roman" w:cs="Times New Roman"/>
          <w:bCs/>
          <w:sz w:val="26"/>
          <w:szCs w:val="26"/>
          <w:lang w:eastAsia="fr-FR"/>
        </w:rPr>
        <w:t xml:space="preserve">e tribunal administratif de Paris a </w:t>
      </w:r>
      <w:r>
        <w:rPr>
          <w:rFonts w:ascii="Times New Roman" w:eastAsiaTheme="minorEastAsia" w:hAnsi="Times New Roman" w:cs="Times New Roman"/>
          <w:bCs/>
          <w:sz w:val="26"/>
          <w:szCs w:val="26"/>
          <w:lang w:eastAsia="fr-FR"/>
        </w:rPr>
        <w:t xml:space="preserve">en effet </w:t>
      </w:r>
      <w:r w:rsidR="00032979">
        <w:rPr>
          <w:rFonts w:ascii="Times New Roman" w:eastAsiaTheme="minorEastAsia" w:hAnsi="Times New Roman" w:cs="Times New Roman"/>
          <w:bCs/>
          <w:sz w:val="26"/>
          <w:szCs w:val="26"/>
          <w:lang w:eastAsia="fr-FR"/>
        </w:rPr>
        <w:t xml:space="preserve">commis une erreur de droit en </w:t>
      </w:r>
      <w:r w:rsidR="00D3138D">
        <w:rPr>
          <w:rFonts w:ascii="Times New Roman" w:eastAsiaTheme="minorEastAsia" w:hAnsi="Times New Roman" w:cs="Times New Roman"/>
          <w:bCs/>
          <w:sz w:val="26"/>
          <w:szCs w:val="26"/>
          <w:lang w:eastAsia="fr-FR"/>
        </w:rPr>
        <w:t xml:space="preserve">faisant application du principe </w:t>
      </w:r>
      <w:r w:rsidR="00D3138D" w:rsidRPr="00D3138D">
        <w:rPr>
          <w:rFonts w:ascii="Times New Roman" w:eastAsiaTheme="minorEastAsia" w:hAnsi="Times New Roman" w:cs="Times New Roman"/>
          <w:bCs/>
          <w:i/>
          <w:iCs/>
          <w:sz w:val="26"/>
          <w:szCs w:val="26"/>
          <w:lang w:eastAsia="fr-FR"/>
        </w:rPr>
        <w:t>specialia generalibus derogant</w:t>
      </w:r>
      <w:r w:rsidR="00D3138D">
        <w:rPr>
          <w:rFonts w:ascii="Times New Roman" w:eastAsiaTheme="minorEastAsia" w:hAnsi="Times New Roman" w:cs="Times New Roman"/>
          <w:bCs/>
          <w:sz w:val="26"/>
          <w:szCs w:val="26"/>
          <w:lang w:eastAsia="fr-FR"/>
        </w:rPr>
        <w:t xml:space="preserve"> pour écarter l’application des </w:t>
      </w:r>
      <w:r>
        <w:rPr>
          <w:rFonts w:ascii="Times New Roman" w:eastAsiaTheme="minorEastAsia" w:hAnsi="Times New Roman" w:cs="Times New Roman"/>
          <w:bCs/>
          <w:sz w:val="26"/>
          <w:szCs w:val="26"/>
          <w:lang w:eastAsia="fr-FR"/>
        </w:rPr>
        <w:t>articles L. 300-2, L. 311-1, L. 300-4 et L. 312-1-1 du code des relations entre le public et l’administration (point 4 du jugement attaqué)</w:t>
      </w:r>
      <w:r w:rsidR="00D3138D">
        <w:rPr>
          <w:rFonts w:ascii="Times New Roman" w:eastAsiaTheme="minorEastAsia" w:hAnsi="Times New Roman" w:cs="Times New Roman"/>
          <w:bCs/>
          <w:sz w:val="26"/>
          <w:szCs w:val="26"/>
          <w:lang w:eastAsia="fr-FR"/>
        </w:rPr>
        <w:t>.</w:t>
      </w:r>
    </w:p>
    <w:p w14:paraId="0D8C70DB" w14:textId="038673A9" w:rsidR="00DC3871" w:rsidRPr="001207D6" w:rsidRDefault="00DC3871"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1207D6">
        <w:rPr>
          <w:rFonts w:ascii="Times New Roman" w:eastAsiaTheme="minorEastAsia" w:hAnsi="Times New Roman" w:cs="Times New Roman"/>
          <w:bCs/>
          <w:sz w:val="26"/>
          <w:szCs w:val="26"/>
          <w:lang w:eastAsia="fr-FR"/>
        </w:rPr>
        <w:t>Des commentateurs autorisés de la jurisprudence administrative observaient en effet que</w:t>
      </w:r>
      <w:r w:rsidR="001207D6">
        <w:rPr>
          <w:rFonts w:ascii="Times New Roman" w:eastAsiaTheme="minorEastAsia" w:hAnsi="Times New Roman" w:cs="Times New Roman"/>
          <w:bCs/>
          <w:sz w:val="26"/>
          <w:szCs w:val="26"/>
          <w:lang w:eastAsia="fr-FR"/>
        </w:rPr>
        <w:t xml:space="preserve"> </w:t>
      </w:r>
      <w:r w:rsidR="001207D6" w:rsidRPr="00B042D8">
        <w:rPr>
          <w:rFonts w:ascii="Times New Roman" w:eastAsiaTheme="minorEastAsia" w:hAnsi="Times New Roman" w:cs="Times New Roman"/>
          <w:bCs/>
          <w:sz w:val="26"/>
          <w:szCs w:val="26"/>
          <w:u w:val="single"/>
          <w:lang w:eastAsia="fr-FR"/>
        </w:rPr>
        <w:t>l’application de ce principe n’a rien d’évident en ce qui concerne l’accès aux documents administratifs</w:t>
      </w:r>
      <w:r w:rsidRPr="001207D6">
        <w:rPr>
          <w:rFonts w:ascii="Times New Roman" w:eastAsiaTheme="minorEastAsia" w:hAnsi="Times New Roman" w:cs="Times New Roman"/>
          <w:bCs/>
          <w:sz w:val="26"/>
          <w:szCs w:val="26"/>
          <w:lang w:eastAsia="fr-FR"/>
        </w:rPr>
        <w:t> :</w:t>
      </w:r>
    </w:p>
    <w:p w14:paraId="02DBD2EB" w14:textId="5CCB1124" w:rsidR="00DC3871" w:rsidRPr="001207D6" w:rsidRDefault="00DC3871"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207D6">
        <w:rPr>
          <w:rFonts w:ascii="Times New Roman" w:eastAsiaTheme="minorEastAsia" w:hAnsi="Times New Roman" w:cs="Times New Roman"/>
          <w:bCs/>
          <w:sz w:val="24"/>
          <w:szCs w:val="24"/>
          <w:lang w:eastAsia="fr-FR"/>
        </w:rPr>
        <w:t xml:space="preserve">« lorsqu’est en cause la combinaison d’une loi générale et de dispositions spéciales, le réflexe classique inspiré des préceptes du droit romain est de faire application du texte spécial s’il est applicable, à l’exclusion du texte général : dans leur sphère de compétence, les lois spéciales excluent l’application de la loi générale (R. Gassin, </w:t>
      </w:r>
      <w:r w:rsidRPr="000E3E20">
        <w:rPr>
          <w:rFonts w:ascii="Times New Roman" w:eastAsiaTheme="minorEastAsia" w:hAnsi="Times New Roman" w:cs="Times New Roman"/>
          <w:bCs/>
          <w:i/>
          <w:iCs/>
          <w:sz w:val="24"/>
          <w:szCs w:val="24"/>
          <w:lang w:eastAsia="fr-FR"/>
        </w:rPr>
        <w:t>Lois spéciales et droit commun</w:t>
      </w:r>
      <w:r w:rsidRPr="001207D6">
        <w:rPr>
          <w:rFonts w:ascii="Times New Roman" w:eastAsiaTheme="minorEastAsia" w:hAnsi="Times New Roman" w:cs="Times New Roman"/>
          <w:bCs/>
          <w:sz w:val="24"/>
          <w:szCs w:val="24"/>
          <w:lang w:eastAsia="fr-FR"/>
        </w:rPr>
        <w:t>, D. 1961.91). (…)</w:t>
      </w:r>
    </w:p>
    <w:p w14:paraId="755D8205" w14:textId="30D4FCF9" w:rsidR="00DC3871" w:rsidRPr="001207D6" w:rsidRDefault="00DC3871"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0E3E20">
        <w:rPr>
          <w:rFonts w:ascii="Times New Roman" w:eastAsiaTheme="minorEastAsia" w:hAnsi="Times New Roman" w:cs="Times New Roman"/>
          <w:bCs/>
          <w:sz w:val="24"/>
          <w:szCs w:val="24"/>
          <w:u w:val="single"/>
          <w:lang w:eastAsia="fr-FR"/>
        </w:rPr>
        <w:t>La matière de l’accès aux documents administratifs livre une nouvelle illustration de ce que le rapprochement d’un texte général et de textes spéciaux donne naissance à des combinaisons juridiques autrement plus subtiles que l’application pure et simple du texte spécial</w:t>
      </w:r>
      <w:r w:rsidRPr="001207D6">
        <w:rPr>
          <w:rFonts w:ascii="Times New Roman" w:eastAsiaTheme="minorEastAsia" w:hAnsi="Times New Roman" w:cs="Times New Roman"/>
          <w:bCs/>
          <w:sz w:val="24"/>
          <w:szCs w:val="24"/>
          <w:lang w:eastAsia="fr-FR"/>
        </w:rPr>
        <w:t>. Il est loisible, à cet égard, d’imaginer quatre types de combinaisons :</w:t>
      </w:r>
    </w:p>
    <w:p w14:paraId="22395CBE" w14:textId="77777777" w:rsidR="000E3E20" w:rsidRDefault="00DC3871"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207D6">
        <w:rPr>
          <w:rFonts w:ascii="Times New Roman" w:eastAsiaTheme="minorEastAsia" w:hAnsi="Times New Roman" w:cs="Times New Roman"/>
          <w:bCs/>
          <w:sz w:val="24"/>
          <w:szCs w:val="24"/>
          <w:lang w:eastAsia="fr-FR"/>
        </w:rPr>
        <w:t xml:space="preserve">- </w:t>
      </w:r>
      <w:r w:rsidRPr="007D1442">
        <w:rPr>
          <w:rFonts w:ascii="Times New Roman" w:eastAsiaTheme="minorEastAsia" w:hAnsi="Times New Roman" w:cs="Times New Roman"/>
          <w:bCs/>
          <w:i/>
          <w:iCs/>
          <w:sz w:val="24"/>
          <w:szCs w:val="24"/>
          <w:lang w:eastAsia="fr-FR"/>
        </w:rPr>
        <w:t>L’application exclusive du texte spécial</w:t>
      </w:r>
      <w:r w:rsidR="001207D6" w:rsidRPr="001207D6">
        <w:rPr>
          <w:rFonts w:ascii="Times New Roman" w:eastAsiaTheme="minorEastAsia" w:hAnsi="Times New Roman" w:cs="Times New Roman"/>
          <w:bCs/>
          <w:sz w:val="24"/>
          <w:szCs w:val="24"/>
          <w:lang w:eastAsia="fr-FR"/>
        </w:rPr>
        <w:t xml:space="preserve"> : ce cas de figure, qui obéit à la règle classique, connaît une illustration principale : les rapports entre la loi du 17 juillet 1978 sur l’accès aux documents administratifs et celle du 6 janvier 1978, généralement surnommée Informatique et libertés. </w:t>
      </w:r>
      <w:r w:rsidR="001207D6">
        <w:rPr>
          <w:rFonts w:ascii="Times New Roman" w:eastAsiaTheme="minorEastAsia" w:hAnsi="Times New Roman" w:cs="Times New Roman"/>
          <w:bCs/>
          <w:sz w:val="24"/>
          <w:szCs w:val="24"/>
          <w:lang w:eastAsia="fr-FR"/>
        </w:rPr>
        <w:t xml:space="preserve">(…) </w:t>
      </w:r>
    </w:p>
    <w:p w14:paraId="44004238" w14:textId="77777777" w:rsidR="00A57B85" w:rsidRDefault="00A57B85"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p>
    <w:p w14:paraId="76777FC8" w14:textId="1B591827" w:rsidR="000E3E20" w:rsidRDefault="001207D6"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Les articles 772 et suivants du code de procédure pénale relatifs à la tenue du casier judiciaire et à ses modalités d’accès entrent certainement eux aussi dans la catégorie</w:t>
      </w:r>
      <w:r w:rsidR="003931B3">
        <w:rPr>
          <w:rFonts w:ascii="Times New Roman" w:eastAsiaTheme="minorEastAsia" w:hAnsi="Times New Roman" w:cs="Times New Roman"/>
          <w:bCs/>
          <w:sz w:val="24"/>
          <w:szCs w:val="24"/>
          <w:lang w:eastAsia="fr-FR"/>
        </w:rPr>
        <w:t xml:space="preserve"> des dispositions spéciales dont l’application est exclusive. (…)</w:t>
      </w:r>
      <w:r>
        <w:rPr>
          <w:rFonts w:ascii="Times New Roman" w:eastAsiaTheme="minorEastAsia" w:hAnsi="Times New Roman" w:cs="Times New Roman"/>
          <w:bCs/>
          <w:sz w:val="24"/>
          <w:szCs w:val="24"/>
          <w:lang w:eastAsia="fr-FR"/>
        </w:rPr>
        <w:t xml:space="preserve"> </w:t>
      </w:r>
    </w:p>
    <w:p w14:paraId="62A754C7" w14:textId="304EC3D5" w:rsidR="00DC3871" w:rsidRDefault="000E3E20"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Il semble donc que </w:t>
      </w:r>
      <w:r w:rsidR="001207D6">
        <w:rPr>
          <w:rFonts w:ascii="Times New Roman" w:eastAsiaTheme="minorEastAsia" w:hAnsi="Times New Roman" w:cs="Times New Roman"/>
          <w:bCs/>
          <w:sz w:val="24"/>
          <w:szCs w:val="24"/>
          <w:lang w:eastAsia="fr-FR"/>
        </w:rPr>
        <w:t xml:space="preserve">l’application exclusive de la loi spéciale résulte, hors la circonstance que les documents en cause échapperaient au </w:t>
      </w:r>
      <w:r w:rsidR="001207D6">
        <w:rPr>
          <w:rFonts w:ascii="Times New Roman" w:eastAsiaTheme="minorEastAsia" w:hAnsi="Times New Roman" w:cs="Times New Roman"/>
          <w:bCs/>
          <w:sz w:val="24"/>
          <w:szCs w:val="24"/>
          <w:lang w:eastAsia="fr-FR"/>
        </w:rPr>
        <w:lastRenderedPageBreak/>
        <w:t>champ couvert par la loi de juillet 1978, du degré de protection de l’individu qui motive la loi spéciale</w:t>
      </w:r>
      <w:r w:rsidR="003931B3">
        <w:rPr>
          <w:rFonts w:ascii="Times New Roman" w:eastAsiaTheme="minorEastAsia" w:hAnsi="Times New Roman" w:cs="Times New Roman"/>
          <w:bCs/>
          <w:sz w:val="24"/>
          <w:szCs w:val="24"/>
          <w:lang w:eastAsia="fr-FR"/>
        </w:rPr>
        <w:t>. Dans ces hypothèses, l’impératif de protection des droits de l’individu l’emporte sur la volonté de transparence qui anime la loi de juillet 1978.</w:t>
      </w:r>
    </w:p>
    <w:p w14:paraId="01B60808" w14:textId="77777777" w:rsidR="000E3E20" w:rsidRDefault="003931B3"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 </w:t>
      </w:r>
      <w:r w:rsidR="007D1442" w:rsidRPr="007D1442">
        <w:rPr>
          <w:rFonts w:ascii="Times New Roman" w:eastAsiaTheme="minorEastAsia" w:hAnsi="Times New Roman" w:cs="Times New Roman"/>
          <w:bCs/>
          <w:i/>
          <w:iCs/>
          <w:sz w:val="24"/>
          <w:szCs w:val="24"/>
          <w:lang w:eastAsia="fr-FR"/>
        </w:rPr>
        <w:t>L</w:t>
      </w:r>
      <w:r w:rsidRPr="007D1442">
        <w:rPr>
          <w:rFonts w:ascii="Times New Roman" w:eastAsiaTheme="minorEastAsia" w:hAnsi="Times New Roman" w:cs="Times New Roman"/>
          <w:bCs/>
          <w:i/>
          <w:iCs/>
          <w:sz w:val="24"/>
          <w:szCs w:val="24"/>
          <w:lang w:eastAsia="fr-FR"/>
        </w:rPr>
        <w:t>’application "par éclipse" du texte spécial</w:t>
      </w:r>
      <w:r>
        <w:rPr>
          <w:rFonts w:ascii="Times New Roman" w:eastAsiaTheme="minorEastAsia" w:hAnsi="Times New Roman" w:cs="Times New Roman"/>
          <w:bCs/>
          <w:sz w:val="24"/>
          <w:szCs w:val="24"/>
          <w:lang w:eastAsia="fr-FR"/>
        </w:rPr>
        <w:t xml:space="preserve">, forme de combinaison plus originale, revient à soumettre, selon les périodes, les mêmes documents administratifs soit au régime général, soit à un régime spécial. (…) </w:t>
      </w:r>
    </w:p>
    <w:p w14:paraId="3792C61D" w14:textId="0E9E5CDD" w:rsidR="003931B3" w:rsidRDefault="000E3E20"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Dans cette forme de combinaison, la communication du même document administratif sera régie, selon la date à laquelle elle sera demandée, soit par le texte général, soit par le texte spécial. </w:t>
      </w:r>
      <w:r w:rsidR="003931B3">
        <w:rPr>
          <w:rFonts w:ascii="Times New Roman" w:eastAsiaTheme="minorEastAsia" w:hAnsi="Times New Roman" w:cs="Times New Roman"/>
          <w:bCs/>
          <w:sz w:val="24"/>
          <w:szCs w:val="24"/>
          <w:lang w:eastAsia="fr-FR"/>
        </w:rPr>
        <w:t>Faire primer le texte spécial revient, dans ces hypothèses, à faire bénéficier l’administré de droits plus étendus que le simple droit d’accès organisé par la loi de 1978. (…)</w:t>
      </w:r>
    </w:p>
    <w:p w14:paraId="02941736" w14:textId="323430C3" w:rsidR="003931B3" w:rsidRDefault="003931B3"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 </w:t>
      </w:r>
      <w:r w:rsidR="007D1442" w:rsidRPr="007D1442">
        <w:rPr>
          <w:rFonts w:ascii="Times New Roman" w:eastAsiaTheme="minorEastAsia" w:hAnsi="Times New Roman" w:cs="Times New Roman"/>
          <w:bCs/>
          <w:i/>
          <w:iCs/>
          <w:sz w:val="24"/>
          <w:szCs w:val="24"/>
          <w:lang w:eastAsia="fr-FR"/>
        </w:rPr>
        <w:t>L</w:t>
      </w:r>
      <w:r w:rsidRPr="007D1442">
        <w:rPr>
          <w:rFonts w:ascii="Times New Roman" w:eastAsiaTheme="minorEastAsia" w:hAnsi="Times New Roman" w:cs="Times New Roman"/>
          <w:bCs/>
          <w:i/>
          <w:iCs/>
          <w:sz w:val="24"/>
          <w:szCs w:val="24"/>
          <w:lang w:eastAsia="fr-FR"/>
        </w:rPr>
        <w:t>’application combinée du texte général et du texte spécial</w:t>
      </w:r>
      <w:r>
        <w:rPr>
          <w:rFonts w:ascii="Times New Roman" w:eastAsiaTheme="minorEastAsia" w:hAnsi="Times New Roman" w:cs="Times New Roman"/>
          <w:bCs/>
          <w:sz w:val="24"/>
          <w:szCs w:val="24"/>
          <w:lang w:eastAsia="fr-FR"/>
        </w:rPr>
        <w:t xml:space="preserve"> fait dépendre certaines applications du texte spécial de l’interprétation que l’on donne du texte général. Une telle combinaison est prévue par la loi du 3 janvier 1979 sur les archives : son article 6 prévoit que les documents visés à l’article 1</w:t>
      </w:r>
      <w:r w:rsidRPr="003931B3">
        <w:rPr>
          <w:rFonts w:ascii="Times New Roman" w:eastAsiaTheme="minorEastAsia" w:hAnsi="Times New Roman" w:cs="Times New Roman"/>
          <w:bCs/>
          <w:sz w:val="24"/>
          <w:szCs w:val="24"/>
          <w:vertAlign w:val="superscript"/>
          <w:lang w:eastAsia="fr-FR"/>
        </w:rPr>
        <w:t>er</w:t>
      </w:r>
      <w:r>
        <w:rPr>
          <w:rFonts w:ascii="Times New Roman" w:eastAsiaTheme="minorEastAsia" w:hAnsi="Times New Roman" w:cs="Times New Roman"/>
          <w:bCs/>
          <w:sz w:val="24"/>
          <w:szCs w:val="24"/>
          <w:lang w:eastAsia="fr-FR"/>
        </w:rPr>
        <w:t xml:space="preserve"> de la loi du 17 juillet 1978 demeurent communicables dans les conditions fixées par cette loi. (…)</w:t>
      </w:r>
    </w:p>
    <w:p w14:paraId="51DD5F14" w14:textId="77777777" w:rsidR="000E3E20" w:rsidRDefault="003931B3"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 </w:t>
      </w:r>
      <w:r w:rsidR="007D1442" w:rsidRPr="000E3E20">
        <w:rPr>
          <w:rFonts w:ascii="Times New Roman" w:eastAsiaTheme="minorEastAsia" w:hAnsi="Times New Roman" w:cs="Times New Roman"/>
          <w:bCs/>
          <w:i/>
          <w:iCs/>
          <w:sz w:val="24"/>
          <w:szCs w:val="24"/>
          <w:u w:val="single"/>
          <w:lang w:eastAsia="fr-FR"/>
        </w:rPr>
        <w:t>L</w:t>
      </w:r>
      <w:r w:rsidRPr="000E3E20">
        <w:rPr>
          <w:rFonts w:ascii="Times New Roman" w:eastAsiaTheme="minorEastAsia" w:hAnsi="Times New Roman" w:cs="Times New Roman"/>
          <w:bCs/>
          <w:i/>
          <w:iCs/>
          <w:sz w:val="24"/>
          <w:szCs w:val="24"/>
          <w:u w:val="single"/>
          <w:lang w:eastAsia="fr-FR"/>
        </w:rPr>
        <w:t>’application concurrente</w:t>
      </w:r>
      <w:r w:rsidRPr="000E3E20">
        <w:rPr>
          <w:rFonts w:ascii="Times New Roman" w:eastAsiaTheme="minorEastAsia" w:hAnsi="Times New Roman" w:cs="Times New Roman"/>
          <w:bCs/>
          <w:sz w:val="24"/>
          <w:szCs w:val="24"/>
          <w:u w:val="single"/>
          <w:lang w:eastAsia="fr-FR"/>
        </w:rPr>
        <w:t> : dans ce dernier cas, le texte général s’applique concurremment au texte spécial</w:t>
      </w:r>
      <w:r>
        <w:rPr>
          <w:rFonts w:ascii="Times New Roman" w:eastAsiaTheme="minorEastAsia" w:hAnsi="Times New Roman" w:cs="Times New Roman"/>
          <w:bCs/>
          <w:sz w:val="24"/>
          <w:szCs w:val="24"/>
          <w:lang w:eastAsia="fr-FR"/>
        </w:rPr>
        <w:t>. Cette hypothèse est notamment illustrée par l’articulation de la loi de 1978 et de l’article L. 121-19 du code des communes. Ce texte, qui a été récemment modifié, permet d’obtenir communication des procès-verbaux du conseil municipal, des budgets et des comptes de la commune et des arrêtés municipaux. Il va de soit que ces documents relèvent par ailleurs de la notion de documents administratifs au sens de la loi du 17 juillet 1978 et qu’ils sont, à ce titre, communicables sur le fondement de cette dernière loi</w:t>
      </w:r>
      <w:r w:rsidR="00416061">
        <w:rPr>
          <w:rFonts w:ascii="Times New Roman" w:eastAsiaTheme="minorEastAsia" w:hAnsi="Times New Roman" w:cs="Times New Roman"/>
          <w:bCs/>
          <w:sz w:val="24"/>
          <w:szCs w:val="24"/>
          <w:lang w:eastAsia="fr-FR"/>
        </w:rPr>
        <w:t xml:space="preserve">. </w:t>
      </w:r>
    </w:p>
    <w:p w14:paraId="55B0A1C0" w14:textId="77777777" w:rsidR="000E3E20" w:rsidRDefault="00416061"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Les modalités de communication diffèreront cependant : la délivrance de photocopie est prévue par la loi générale de 1978, mais semblable prestation ne peut être exigée sur le fondement de la disposition du code des communes (CE 11 janvier 1985, </w:t>
      </w:r>
      <w:r w:rsidRPr="000E3E20">
        <w:rPr>
          <w:rFonts w:ascii="Times New Roman" w:eastAsiaTheme="minorEastAsia" w:hAnsi="Times New Roman" w:cs="Times New Roman"/>
          <w:bCs/>
          <w:i/>
          <w:iCs/>
          <w:sz w:val="24"/>
          <w:szCs w:val="24"/>
          <w:lang w:eastAsia="fr-FR"/>
        </w:rPr>
        <w:t>Lefèvre</w:t>
      </w:r>
      <w:r>
        <w:rPr>
          <w:rFonts w:ascii="Times New Roman" w:eastAsiaTheme="minorEastAsia" w:hAnsi="Times New Roman" w:cs="Times New Roman"/>
          <w:bCs/>
          <w:sz w:val="24"/>
          <w:szCs w:val="24"/>
          <w:lang w:eastAsia="fr-FR"/>
        </w:rPr>
        <w:t>, n° 35222). S’agissant du recours précontentieux devant la CADA, un tel recours est obligatoire à peine d’irrecevabilité si la demande de communication se place sur le terrain de la loi de 1978 (</w:t>
      </w:r>
      <w:r w:rsidRPr="000E3E20">
        <w:rPr>
          <w:rFonts w:ascii="Times New Roman" w:eastAsiaTheme="minorEastAsia" w:hAnsi="Times New Roman" w:cs="Times New Roman"/>
          <w:bCs/>
          <w:i/>
          <w:iCs/>
          <w:sz w:val="24"/>
          <w:szCs w:val="24"/>
          <w:lang w:eastAsia="fr-FR"/>
        </w:rPr>
        <w:t>ibid.</w:t>
      </w:r>
      <w:r>
        <w:rPr>
          <w:rFonts w:ascii="Times New Roman" w:eastAsiaTheme="minorEastAsia" w:hAnsi="Times New Roman" w:cs="Times New Roman"/>
          <w:bCs/>
          <w:sz w:val="24"/>
          <w:szCs w:val="24"/>
          <w:lang w:eastAsia="fr-FR"/>
        </w:rPr>
        <w:t xml:space="preserve">), alors qu’il n’est pas exigé si la demande est fondée sur les dispositions spéciales de l’article L. 121-19. En outre, la substance du droit d’accès diffère : seuls les comptes et budgets, procès-verbaux du conseil municipal et les arrêtés municipaux peuvent être demandés sur le fondement de la disposition spéciale du code des communes, quand l’objet de la loi de 1978, beaucoup plus vaste, permet aux administrés d’obtenir communication de bon nombre d’autres documents communaux. </w:t>
      </w:r>
    </w:p>
    <w:p w14:paraId="73D22540" w14:textId="77777777" w:rsidR="000E3E20" w:rsidRDefault="00416061"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lastRenderedPageBreak/>
        <w:t>Cette forme d’application concurrente pratiquée pour l’article L. 121-19 du code des communes se retrouve pour d’autres textes spéciaux. (…)</w:t>
      </w:r>
      <w:r w:rsidR="007D1442">
        <w:rPr>
          <w:rFonts w:ascii="Times New Roman" w:eastAsiaTheme="minorEastAsia" w:hAnsi="Times New Roman" w:cs="Times New Roman"/>
          <w:bCs/>
          <w:sz w:val="24"/>
          <w:szCs w:val="24"/>
          <w:lang w:eastAsia="fr-FR"/>
        </w:rPr>
        <w:t xml:space="preserve">  </w:t>
      </w:r>
    </w:p>
    <w:p w14:paraId="76F84A2E" w14:textId="2752B1DD" w:rsidR="003931B3" w:rsidRPr="001207D6" w:rsidRDefault="007D1442" w:rsidP="001207D6">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Pr>
          <w:rFonts w:ascii="Times New Roman" w:eastAsiaTheme="minorEastAsia" w:hAnsi="Times New Roman" w:cs="Times New Roman"/>
          <w:bCs/>
          <w:sz w:val="24"/>
          <w:szCs w:val="24"/>
          <w:lang w:eastAsia="fr-FR"/>
        </w:rPr>
        <w:t xml:space="preserve">L’application concurrente du texte général et d’un texte spécial n’est pas la forme de combinaison la plus facile à pratiquer. Compte tenu des différences de procédure et de substance de chacun des droits d’accès, le choix du terrain de la demande de communication peut s’avérer décisif. (…) </w:t>
      </w:r>
      <w:r w:rsidRPr="000E3E20">
        <w:rPr>
          <w:rFonts w:ascii="Times New Roman" w:eastAsiaTheme="minorEastAsia" w:hAnsi="Times New Roman" w:cs="Times New Roman"/>
          <w:bCs/>
          <w:sz w:val="24"/>
          <w:szCs w:val="24"/>
          <w:u w:val="single"/>
          <w:lang w:eastAsia="fr-FR"/>
        </w:rPr>
        <w:t>le Conseil d’Etat incline à donner, chaque fois qu’il en a la faculté, une interprétation du texte spécial proche de celle qui préside à l’application du texte général</w:t>
      </w:r>
      <w:r w:rsidR="00061E54" w:rsidRPr="00061E54">
        <w:rPr>
          <w:rFonts w:ascii="Times New Roman" w:eastAsiaTheme="minorEastAsia" w:hAnsi="Times New Roman" w:cs="Times New Roman"/>
          <w:bCs/>
          <w:sz w:val="24"/>
          <w:szCs w:val="24"/>
          <w:lang w:eastAsia="fr-FR"/>
        </w:rPr>
        <w:t xml:space="preserve"> (CE 28 octobre 1987, </w:t>
      </w:r>
      <w:r w:rsidR="00061E54" w:rsidRPr="00061E54">
        <w:rPr>
          <w:rFonts w:ascii="Times New Roman" w:eastAsiaTheme="minorEastAsia" w:hAnsi="Times New Roman" w:cs="Times New Roman"/>
          <w:bCs/>
          <w:i/>
          <w:iCs/>
          <w:sz w:val="24"/>
          <w:szCs w:val="24"/>
          <w:lang w:eastAsia="fr-FR"/>
        </w:rPr>
        <w:t>Fontaine</w:t>
      </w:r>
      <w:r w:rsidR="00061E54" w:rsidRPr="00061E54">
        <w:rPr>
          <w:rFonts w:ascii="Times New Roman" w:eastAsiaTheme="minorEastAsia" w:hAnsi="Times New Roman" w:cs="Times New Roman"/>
          <w:bCs/>
          <w:sz w:val="24"/>
          <w:szCs w:val="24"/>
          <w:lang w:eastAsia="fr-FR"/>
        </w:rPr>
        <w:t>, n° 70775 ;</w:t>
      </w:r>
      <w:r w:rsidR="00061E54">
        <w:rPr>
          <w:rFonts w:ascii="Times New Roman" w:eastAsiaTheme="minorEastAsia" w:hAnsi="Times New Roman" w:cs="Times New Roman"/>
          <w:bCs/>
          <w:sz w:val="24"/>
          <w:szCs w:val="24"/>
          <w:lang w:eastAsia="fr-FR"/>
        </w:rPr>
        <w:t xml:space="preserve"> 26 avril 1993, </w:t>
      </w:r>
      <w:r w:rsidR="00061E54" w:rsidRPr="00061E54">
        <w:rPr>
          <w:rFonts w:ascii="Times New Roman" w:eastAsiaTheme="minorEastAsia" w:hAnsi="Times New Roman" w:cs="Times New Roman"/>
          <w:bCs/>
          <w:i/>
          <w:iCs/>
          <w:sz w:val="24"/>
          <w:szCs w:val="24"/>
          <w:lang w:eastAsia="fr-FR"/>
        </w:rPr>
        <w:t>Association des amis de Saint-Palais-sur-Mer</w:t>
      </w:r>
      <w:r w:rsidR="00061E54">
        <w:rPr>
          <w:rFonts w:ascii="Times New Roman" w:eastAsiaTheme="minorEastAsia" w:hAnsi="Times New Roman" w:cs="Times New Roman"/>
          <w:bCs/>
          <w:sz w:val="24"/>
          <w:szCs w:val="24"/>
          <w:lang w:eastAsia="fr-FR"/>
        </w:rPr>
        <w:t>, n° 107016)</w:t>
      </w:r>
      <w:r>
        <w:rPr>
          <w:rFonts w:ascii="Times New Roman" w:eastAsiaTheme="minorEastAsia" w:hAnsi="Times New Roman" w:cs="Times New Roman"/>
          <w:bCs/>
          <w:sz w:val="24"/>
          <w:szCs w:val="24"/>
          <w:lang w:eastAsia="fr-FR"/>
        </w:rPr>
        <w:t xml:space="preserve"> » (L. Touvet et J-H. Stahl, </w:t>
      </w:r>
      <w:r w:rsidRPr="007D1442">
        <w:rPr>
          <w:rFonts w:ascii="Times New Roman" w:eastAsiaTheme="minorEastAsia" w:hAnsi="Times New Roman" w:cs="Times New Roman"/>
          <w:bCs/>
          <w:i/>
          <w:iCs/>
          <w:sz w:val="24"/>
          <w:szCs w:val="24"/>
          <w:lang w:eastAsia="fr-FR"/>
        </w:rPr>
        <w:t>Précisions concernant l’application de la loi du 17 juillet 1978 sur l’accès aux documents administratif</w:t>
      </w:r>
      <w:r>
        <w:rPr>
          <w:rFonts w:ascii="Times New Roman" w:eastAsiaTheme="minorEastAsia" w:hAnsi="Times New Roman" w:cs="Times New Roman"/>
          <w:bCs/>
          <w:sz w:val="24"/>
          <w:szCs w:val="24"/>
          <w:lang w:eastAsia="fr-FR"/>
        </w:rPr>
        <w:t>, AJDA 1994.679).</w:t>
      </w:r>
    </w:p>
    <w:p w14:paraId="7BE10B85" w14:textId="4DDEC57D" w:rsidR="00D3138D" w:rsidRDefault="000E3E20"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Or, si l’on suit cette grille d’analyse, il est bien évident que </w:t>
      </w:r>
      <w:r w:rsidR="00617A76">
        <w:rPr>
          <w:rFonts w:ascii="Times New Roman" w:eastAsiaTheme="minorEastAsia" w:hAnsi="Times New Roman" w:cs="Times New Roman"/>
          <w:bCs/>
          <w:sz w:val="26"/>
          <w:szCs w:val="26"/>
          <w:lang w:eastAsia="fr-FR"/>
        </w:rPr>
        <w:t>la combinaison applicable en l’espèce est celle d’une application concurrente du texte spécial - l’article 21-1 de la loi du 31 décembre 1971 - avec le texte général - le livre III du code des relations entre le public et l’administration</w:t>
      </w:r>
      <w:r w:rsidR="00B042D8">
        <w:rPr>
          <w:rFonts w:ascii="Times New Roman" w:eastAsiaTheme="minorEastAsia" w:hAnsi="Times New Roman" w:cs="Times New Roman"/>
          <w:bCs/>
          <w:sz w:val="26"/>
          <w:szCs w:val="26"/>
          <w:lang w:eastAsia="fr-FR"/>
        </w:rPr>
        <w:t xml:space="preserve"> et les dispositions des articles L. 300-2, L. 300-4, L. 311-1 et L. 312-1-1 de ce code</w:t>
      </w:r>
      <w:r w:rsidR="00617A76">
        <w:rPr>
          <w:rFonts w:ascii="Times New Roman" w:eastAsiaTheme="minorEastAsia" w:hAnsi="Times New Roman" w:cs="Times New Roman"/>
          <w:bCs/>
          <w:sz w:val="26"/>
          <w:szCs w:val="26"/>
          <w:lang w:eastAsia="fr-FR"/>
        </w:rPr>
        <w:t>.</w:t>
      </w:r>
    </w:p>
    <w:p w14:paraId="103BF726" w14:textId="67851D95" w:rsidR="00617A76" w:rsidRDefault="00617A76"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8CCC07B" w14:textId="376BC612" w:rsidR="00617A76" w:rsidRDefault="00617A76"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617A76">
        <w:rPr>
          <w:rFonts w:ascii="Times New Roman" w:eastAsiaTheme="minorEastAsia" w:hAnsi="Times New Roman" w:cs="Times New Roman"/>
          <w:b/>
          <w:sz w:val="26"/>
          <w:szCs w:val="26"/>
          <w:lang w:eastAsia="fr-FR"/>
        </w:rPr>
        <w:t>1</w:t>
      </w:r>
      <w:r w:rsidR="0022743A">
        <w:rPr>
          <w:rFonts w:ascii="Times New Roman" w:eastAsiaTheme="minorEastAsia" w:hAnsi="Times New Roman" w:cs="Times New Roman"/>
          <w:b/>
          <w:sz w:val="26"/>
          <w:szCs w:val="26"/>
          <w:lang w:eastAsia="fr-FR"/>
        </w:rPr>
        <w:t>8</w:t>
      </w:r>
      <w:r w:rsidRPr="00617A76">
        <w:rPr>
          <w:rFonts w:ascii="Times New Roman" w:eastAsiaTheme="minorEastAsia" w:hAnsi="Times New Roman" w:cs="Times New Roman"/>
          <w:b/>
          <w:sz w:val="26"/>
          <w:szCs w:val="26"/>
          <w:lang w:eastAsia="fr-FR"/>
        </w:rPr>
        <w:t>.</w:t>
      </w:r>
      <w:r>
        <w:rPr>
          <w:rFonts w:ascii="Times New Roman" w:eastAsiaTheme="minorEastAsia" w:hAnsi="Times New Roman" w:cs="Times New Roman"/>
          <w:bCs/>
          <w:sz w:val="26"/>
          <w:szCs w:val="26"/>
          <w:lang w:eastAsia="fr-FR"/>
        </w:rPr>
        <w:t xml:space="preserve"> </w:t>
      </w:r>
      <w:r w:rsidRPr="00617A76">
        <w:rPr>
          <w:rFonts w:ascii="Times New Roman" w:eastAsiaTheme="minorEastAsia" w:hAnsi="Times New Roman" w:cs="Times New Roman"/>
          <w:bCs/>
          <w:sz w:val="26"/>
          <w:szCs w:val="26"/>
          <w:u w:val="single"/>
          <w:lang w:eastAsia="fr-FR"/>
        </w:rPr>
        <w:t>D’une part</w:t>
      </w:r>
      <w:r>
        <w:rPr>
          <w:rFonts w:ascii="Times New Roman" w:eastAsiaTheme="minorEastAsia" w:hAnsi="Times New Roman" w:cs="Times New Roman"/>
          <w:bCs/>
          <w:sz w:val="26"/>
          <w:szCs w:val="26"/>
          <w:lang w:eastAsia="fr-FR"/>
        </w:rPr>
        <w:t>, l’application exclusive du texte spécial - solution retenue par les premiers juges - est radicalement exclue dès lors que la loi du 31 décembre 1971 modifiée</w:t>
      </w:r>
      <w:r w:rsidR="00A956A1">
        <w:rPr>
          <w:rFonts w:ascii="Times New Roman" w:eastAsiaTheme="minorEastAsia" w:hAnsi="Times New Roman" w:cs="Times New Roman"/>
          <w:bCs/>
          <w:sz w:val="26"/>
          <w:szCs w:val="26"/>
          <w:lang w:eastAsia="fr-FR"/>
        </w:rPr>
        <w:t>, pas plus que le</w:t>
      </w:r>
      <w:r w:rsidR="007A067B">
        <w:rPr>
          <w:rFonts w:ascii="Times New Roman" w:eastAsiaTheme="minorEastAsia" w:hAnsi="Times New Roman" w:cs="Times New Roman"/>
          <w:bCs/>
          <w:sz w:val="26"/>
          <w:szCs w:val="26"/>
          <w:lang w:eastAsia="fr-FR"/>
        </w:rPr>
        <w:t xml:space="preserve"> livre III du</w:t>
      </w:r>
      <w:r w:rsidR="00A956A1">
        <w:rPr>
          <w:rFonts w:ascii="Times New Roman" w:eastAsiaTheme="minorEastAsia" w:hAnsi="Times New Roman" w:cs="Times New Roman"/>
          <w:bCs/>
          <w:sz w:val="26"/>
          <w:szCs w:val="26"/>
          <w:lang w:eastAsia="fr-FR"/>
        </w:rPr>
        <w:t xml:space="preserve"> code des relations entre le public et l’administration, ne comporte de dispositions en ce sens.</w:t>
      </w:r>
    </w:p>
    <w:p w14:paraId="48EF98EF" w14:textId="7DC4735D" w:rsidR="007A067B" w:rsidRDefault="00B042D8"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Les</w:t>
      </w:r>
      <w:r w:rsidR="007A067B" w:rsidRPr="007A067B">
        <w:rPr>
          <w:rFonts w:ascii="Times New Roman" w:eastAsiaTheme="minorEastAsia" w:hAnsi="Times New Roman" w:cs="Times New Roman"/>
          <w:bCs/>
          <w:sz w:val="26"/>
          <w:szCs w:val="26"/>
          <w:lang w:eastAsia="fr-FR"/>
        </w:rPr>
        <w:t xml:space="preserve"> travaux préparatoires de la loi du 18 novembre 2016, dont sont issues les dispositions de l’article 21-1 de la loi du 31 décembre 1971</w:t>
      </w:r>
      <w:r w:rsidR="00BC23C5">
        <w:rPr>
          <w:rFonts w:ascii="Times New Roman" w:eastAsiaTheme="minorEastAsia" w:hAnsi="Times New Roman" w:cs="Times New Roman"/>
          <w:bCs/>
          <w:sz w:val="26"/>
          <w:szCs w:val="26"/>
          <w:lang w:eastAsia="fr-FR"/>
        </w:rPr>
        <w:t xml:space="preserve"> modifiée</w:t>
      </w:r>
      <w:r w:rsidR="007A067B">
        <w:rPr>
          <w:rFonts w:ascii="Times New Roman" w:eastAsiaTheme="minorEastAsia" w:hAnsi="Times New Roman" w:cs="Times New Roman"/>
          <w:bCs/>
          <w:sz w:val="26"/>
          <w:szCs w:val="26"/>
          <w:lang w:eastAsia="fr-FR"/>
        </w:rPr>
        <w:t>, ne révèlent aucune volonté, de la part du législateur, d’exclure l’application du droit commun</w:t>
      </w:r>
      <w:r w:rsidR="00BC23C5">
        <w:rPr>
          <w:rFonts w:ascii="Times New Roman" w:eastAsiaTheme="minorEastAsia" w:hAnsi="Times New Roman" w:cs="Times New Roman"/>
          <w:bCs/>
          <w:sz w:val="26"/>
          <w:szCs w:val="26"/>
          <w:lang w:eastAsia="fr-FR"/>
        </w:rPr>
        <w:t xml:space="preserve"> ou d’y déroger d’une quelconque manière.</w:t>
      </w:r>
    </w:p>
    <w:p w14:paraId="594019B7" w14:textId="44A781B2" w:rsidR="00BC23C5" w:rsidRDefault="0022743A"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Par ailleurs,</w:t>
      </w:r>
      <w:r w:rsidR="00BC23C5">
        <w:rPr>
          <w:rFonts w:ascii="Times New Roman" w:eastAsiaTheme="minorEastAsia" w:hAnsi="Times New Roman" w:cs="Times New Roman"/>
          <w:bCs/>
          <w:sz w:val="26"/>
          <w:szCs w:val="26"/>
          <w:lang w:eastAsia="fr-FR"/>
        </w:rPr>
        <w:t xml:space="preserve"> il ne saurait être question ici, s’agissant de l’annuaire professionnel des personnes physiques et morales exerçant la profession d’avocat, de protéger </w:t>
      </w:r>
      <w:r>
        <w:rPr>
          <w:rFonts w:ascii="Times New Roman" w:eastAsiaTheme="minorEastAsia" w:hAnsi="Times New Roman" w:cs="Times New Roman"/>
          <w:bCs/>
          <w:sz w:val="26"/>
          <w:szCs w:val="26"/>
          <w:lang w:eastAsia="fr-FR"/>
        </w:rPr>
        <w:t>les droits individuels des professionnels alors que les données dont s’agit ne relèvent pas de la sphère de la vie privée et sont par ailleurs déjà accessibles pour la plupart.</w:t>
      </w:r>
    </w:p>
    <w:p w14:paraId="69275B55" w14:textId="25E7CBA2" w:rsidR="0022743A" w:rsidRDefault="0022743A"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87BD414" w14:textId="39902D45" w:rsidR="0022743A" w:rsidRDefault="0022743A"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61E54">
        <w:rPr>
          <w:rFonts w:ascii="Times New Roman" w:eastAsiaTheme="minorEastAsia" w:hAnsi="Times New Roman" w:cs="Times New Roman"/>
          <w:b/>
          <w:sz w:val="26"/>
          <w:szCs w:val="26"/>
          <w:lang w:eastAsia="fr-FR"/>
        </w:rPr>
        <w:t>19.</w:t>
      </w:r>
      <w:r>
        <w:rPr>
          <w:rFonts w:ascii="Times New Roman" w:eastAsiaTheme="minorEastAsia" w:hAnsi="Times New Roman" w:cs="Times New Roman"/>
          <w:bCs/>
          <w:sz w:val="26"/>
          <w:szCs w:val="26"/>
          <w:lang w:eastAsia="fr-FR"/>
        </w:rPr>
        <w:t xml:space="preserve"> </w:t>
      </w:r>
      <w:r w:rsidRPr="00061E54">
        <w:rPr>
          <w:rFonts w:ascii="Times New Roman" w:eastAsiaTheme="minorEastAsia" w:hAnsi="Times New Roman" w:cs="Times New Roman"/>
          <w:bCs/>
          <w:sz w:val="26"/>
          <w:szCs w:val="26"/>
          <w:u w:val="single"/>
          <w:lang w:eastAsia="fr-FR"/>
        </w:rPr>
        <w:t>D’autre part</w:t>
      </w:r>
      <w:r>
        <w:rPr>
          <w:rFonts w:ascii="Times New Roman" w:eastAsiaTheme="minorEastAsia" w:hAnsi="Times New Roman" w:cs="Times New Roman"/>
          <w:bCs/>
          <w:sz w:val="26"/>
          <w:szCs w:val="26"/>
          <w:lang w:eastAsia="fr-FR"/>
        </w:rPr>
        <w:t xml:space="preserve">, l’application « par éclipse » du texte spécial ou l’application combinée </w:t>
      </w:r>
      <w:r w:rsidR="00061E54">
        <w:rPr>
          <w:rFonts w:ascii="Times New Roman" w:eastAsiaTheme="minorEastAsia" w:hAnsi="Times New Roman" w:cs="Times New Roman"/>
          <w:bCs/>
          <w:sz w:val="26"/>
          <w:szCs w:val="26"/>
          <w:lang w:eastAsia="fr-FR"/>
        </w:rPr>
        <w:t>et du texte spécial sont également exclues dès lors qu’elles sont dépourvues d’objet dans le cas présent puisqu’il n’y a aucune « éclipse » ni passerelle entre les deux corps de règles.</w:t>
      </w:r>
    </w:p>
    <w:p w14:paraId="3608B906" w14:textId="4CC84086" w:rsidR="00061E54" w:rsidRDefault="00061E54"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61E54">
        <w:rPr>
          <w:rFonts w:ascii="Times New Roman" w:eastAsiaTheme="minorEastAsia" w:hAnsi="Times New Roman" w:cs="Times New Roman"/>
          <w:b/>
          <w:sz w:val="26"/>
          <w:szCs w:val="26"/>
          <w:lang w:eastAsia="fr-FR"/>
        </w:rPr>
        <w:lastRenderedPageBreak/>
        <w:t>20.</w:t>
      </w:r>
      <w:r>
        <w:rPr>
          <w:rFonts w:ascii="Times New Roman" w:eastAsiaTheme="minorEastAsia" w:hAnsi="Times New Roman" w:cs="Times New Roman"/>
          <w:bCs/>
          <w:sz w:val="26"/>
          <w:szCs w:val="26"/>
          <w:lang w:eastAsia="fr-FR"/>
        </w:rPr>
        <w:t xml:space="preserve"> Reste alors, </w:t>
      </w:r>
      <w:r w:rsidRPr="00061E54">
        <w:rPr>
          <w:rFonts w:ascii="Times New Roman" w:eastAsiaTheme="minorEastAsia" w:hAnsi="Times New Roman" w:cs="Times New Roman"/>
          <w:bCs/>
          <w:sz w:val="26"/>
          <w:szCs w:val="26"/>
          <w:u w:val="single"/>
          <w:lang w:eastAsia="fr-FR"/>
        </w:rPr>
        <w:t>enfin</w:t>
      </w:r>
      <w:r>
        <w:rPr>
          <w:rFonts w:ascii="Times New Roman" w:eastAsiaTheme="minorEastAsia" w:hAnsi="Times New Roman" w:cs="Times New Roman"/>
          <w:bCs/>
          <w:sz w:val="26"/>
          <w:szCs w:val="26"/>
          <w:lang w:eastAsia="fr-FR"/>
        </w:rPr>
        <w:t>, l’application concurrente du texte spécial et du texte général qui est la seule envisageable : les dispositions spéciales de la loi du 18 décembre 2016 ne font pas obstacle à l’application des dispositions générales du code des relations entre le public et l’administratif relatives à l’accès aux documents administratifs et à la réutilisation des informations publiques.</w:t>
      </w:r>
    </w:p>
    <w:p w14:paraId="39602155" w14:textId="53395BC8" w:rsidR="0015491B" w:rsidRDefault="0015491B"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15491B">
        <w:rPr>
          <w:rFonts w:ascii="Times New Roman" w:eastAsiaTheme="minorEastAsia" w:hAnsi="Times New Roman" w:cs="Times New Roman"/>
          <w:bCs/>
          <w:sz w:val="26"/>
          <w:szCs w:val="26"/>
          <w:lang w:eastAsia="fr-FR"/>
        </w:rPr>
        <w:t xml:space="preserve">A cet égard, il convient de relever que, comme le faisait valoir l’association exposante devant les premiers juges, que l’article </w:t>
      </w:r>
      <w:r>
        <w:rPr>
          <w:rFonts w:ascii="Times New Roman" w:eastAsiaTheme="minorEastAsia" w:hAnsi="Times New Roman" w:cs="Times New Roman"/>
          <w:bCs/>
          <w:sz w:val="26"/>
          <w:szCs w:val="26"/>
          <w:lang w:eastAsia="fr-FR"/>
        </w:rPr>
        <w:t>D. 312-1-3 du code des relations entre le public et l’administration envisage expressément une telle possibilité :</w:t>
      </w:r>
    </w:p>
    <w:p w14:paraId="5A82E89D" w14:textId="7767A61E" w:rsidR="0015491B" w:rsidRPr="0015491B" w:rsidRDefault="0015491B" w:rsidP="0015491B">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5491B">
        <w:rPr>
          <w:rFonts w:ascii="Times New Roman" w:eastAsiaTheme="minorEastAsia" w:hAnsi="Times New Roman" w:cs="Times New Roman"/>
          <w:bCs/>
          <w:sz w:val="24"/>
          <w:szCs w:val="24"/>
          <w:lang w:eastAsia="fr-FR"/>
        </w:rPr>
        <w:t>« </w:t>
      </w:r>
      <w:r w:rsidRPr="0015491B">
        <w:rPr>
          <w:rFonts w:ascii="Times New Roman" w:eastAsiaTheme="minorEastAsia" w:hAnsi="Times New Roman" w:cs="Times New Roman"/>
          <w:bCs/>
          <w:sz w:val="24"/>
          <w:szCs w:val="24"/>
          <w:lang w:eastAsia="fr-FR"/>
        </w:rPr>
        <w:t>Les documents et informations mentionnés aux articles L. 312-1 ou L. 312-1-1 et qui sont communicables ou accessibles à toute personne, sous réserve des articles L. 311-5 et L. 311-6 et d'autres dispositions législatives ou réglementaires en vigueur, peuvent être rendus publics sans avoir fait l'objet du traitement prévu au deuxième alinéa de l'article L. 312-1-2</w:t>
      </w:r>
      <w:r w:rsidRPr="0015491B">
        <w:rPr>
          <w:rFonts w:ascii="Times New Roman" w:eastAsiaTheme="minorEastAsia" w:hAnsi="Times New Roman" w:cs="Times New Roman"/>
          <w:bCs/>
          <w:sz w:val="24"/>
          <w:szCs w:val="24"/>
          <w:lang w:eastAsia="fr-FR"/>
        </w:rPr>
        <w:t xml:space="preserve"> [anonymisation]</w:t>
      </w:r>
      <w:r w:rsidRPr="0015491B">
        <w:rPr>
          <w:rFonts w:ascii="Times New Roman" w:eastAsiaTheme="minorEastAsia" w:hAnsi="Times New Roman" w:cs="Times New Roman"/>
          <w:bCs/>
          <w:sz w:val="24"/>
          <w:szCs w:val="24"/>
          <w:lang w:eastAsia="fr-FR"/>
        </w:rPr>
        <w:t>, lorsqu'ils relèvent de l'une des catégories suivantes :</w:t>
      </w:r>
      <w:r w:rsidRPr="0015491B">
        <w:rPr>
          <w:rFonts w:ascii="Times New Roman" w:eastAsiaTheme="minorEastAsia" w:hAnsi="Times New Roman" w:cs="Times New Roman"/>
          <w:bCs/>
          <w:sz w:val="24"/>
          <w:szCs w:val="24"/>
          <w:lang w:eastAsia="fr-FR"/>
        </w:rPr>
        <w:t xml:space="preserve"> (…)</w:t>
      </w:r>
    </w:p>
    <w:p w14:paraId="5E5CC96E" w14:textId="13C481A8" w:rsidR="0015491B" w:rsidRPr="0015491B" w:rsidRDefault="0015491B" w:rsidP="0015491B">
      <w:pPr>
        <w:tabs>
          <w:tab w:val="left" w:pos="1701"/>
        </w:tabs>
        <w:spacing w:before="120" w:after="120" w:line="240" w:lineRule="auto"/>
        <w:ind w:left="1134" w:right="6"/>
        <w:jc w:val="both"/>
        <w:rPr>
          <w:rFonts w:ascii="Times New Roman" w:eastAsiaTheme="minorEastAsia" w:hAnsi="Times New Roman" w:cs="Times New Roman"/>
          <w:bCs/>
          <w:sz w:val="24"/>
          <w:szCs w:val="24"/>
          <w:lang w:eastAsia="fr-FR"/>
        </w:rPr>
      </w:pPr>
      <w:r w:rsidRPr="0015491B">
        <w:rPr>
          <w:rFonts w:ascii="Times New Roman" w:eastAsiaTheme="minorEastAsia" w:hAnsi="Times New Roman" w:cs="Times New Roman"/>
          <w:bCs/>
          <w:sz w:val="24"/>
          <w:szCs w:val="24"/>
          <w:lang w:eastAsia="fr-FR"/>
        </w:rPr>
        <w:t>3° Les documents nécessaires à l'information du public relatifs aux conditions d'organisation et d'exercice des professions réglementées et des activités professionnelles soumises à la règlementation, notamment celles relatives à l'exercice des professions de notaire, avocat, huissier de justice et architecte</w:t>
      </w:r>
      <w:r w:rsidRPr="0015491B">
        <w:rPr>
          <w:rFonts w:ascii="Times New Roman" w:eastAsiaTheme="minorEastAsia" w:hAnsi="Times New Roman" w:cs="Times New Roman"/>
          <w:bCs/>
          <w:sz w:val="24"/>
          <w:szCs w:val="24"/>
          <w:lang w:eastAsia="fr-FR"/>
        </w:rPr>
        <w:t> ; (…) ».</w:t>
      </w:r>
    </w:p>
    <w:p w14:paraId="4720A5F7" w14:textId="030A659F" w:rsidR="00061E54" w:rsidRDefault="00061E54"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061E54">
        <w:rPr>
          <w:rFonts w:ascii="Times New Roman" w:eastAsiaTheme="minorEastAsia" w:hAnsi="Times New Roman" w:cs="Times New Roman"/>
          <w:bCs/>
          <w:sz w:val="26"/>
          <w:szCs w:val="26"/>
          <w:lang w:eastAsia="fr-FR"/>
        </w:rPr>
        <w:t>Dès lors, le tribunal administratif de Paris a entaché son jugement d’</w:t>
      </w:r>
      <w:r w:rsidRPr="00A57B85">
        <w:rPr>
          <w:rFonts w:ascii="Times New Roman" w:eastAsiaTheme="minorEastAsia" w:hAnsi="Times New Roman" w:cs="Times New Roman"/>
          <w:b/>
          <w:sz w:val="26"/>
          <w:szCs w:val="26"/>
          <w:u w:val="single"/>
          <w:lang w:eastAsia="fr-FR"/>
        </w:rPr>
        <w:t>erreur de droit</w:t>
      </w:r>
      <w:r w:rsidRPr="00A57B85">
        <w:rPr>
          <w:rFonts w:ascii="Times New Roman" w:eastAsiaTheme="minorEastAsia" w:hAnsi="Times New Roman" w:cs="Times New Roman"/>
          <w:b/>
          <w:sz w:val="26"/>
          <w:szCs w:val="26"/>
          <w:lang w:eastAsia="fr-FR"/>
        </w:rPr>
        <w:t xml:space="preserve"> </w:t>
      </w:r>
      <w:r w:rsidRPr="00061E54">
        <w:rPr>
          <w:rFonts w:ascii="Times New Roman" w:eastAsiaTheme="minorEastAsia" w:hAnsi="Times New Roman" w:cs="Times New Roman"/>
          <w:bCs/>
          <w:sz w:val="26"/>
          <w:szCs w:val="26"/>
          <w:lang w:eastAsia="fr-FR"/>
        </w:rPr>
        <w:t xml:space="preserve">en écartant </w:t>
      </w:r>
      <w:r>
        <w:rPr>
          <w:rFonts w:ascii="Times New Roman" w:eastAsiaTheme="minorEastAsia" w:hAnsi="Times New Roman" w:cs="Times New Roman"/>
          <w:bCs/>
          <w:sz w:val="26"/>
          <w:szCs w:val="26"/>
          <w:lang w:eastAsia="fr-FR"/>
        </w:rPr>
        <w:t xml:space="preserve">le moyen tiré </w:t>
      </w:r>
      <w:r w:rsidR="00A57B85">
        <w:rPr>
          <w:rFonts w:ascii="Times New Roman" w:eastAsiaTheme="minorEastAsia" w:hAnsi="Times New Roman" w:cs="Times New Roman"/>
          <w:bCs/>
          <w:sz w:val="26"/>
          <w:szCs w:val="26"/>
          <w:lang w:eastAsia="fr-FR"/>
        </w:rPr>
        <w:t>de l’application des dispositions du livre III du code des relations entre le public et l’administration comme inopérant (point 4 du jugement attaqué).</w:t>
      </w:r>
    </w:p>
    <w:p w14:paraId="56D2DB5A" w14:textId="49153ECF" w:rsidR="00A57B85" w:rsidRDefault="00A57B8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Il appartenait aux premiers juges de rechercher si les conditions d’application de ces dispositions étaient réunies, comme ils l’avaient d’ailleurs fait pour écarter les conclusions tendant à la publication en ligne de la liste des personnes morales exerçant la profession d’avocat, au prix d’une </w:t>
      </w:r>
      <w:r w:rsidRPr="00D23215">
        <w:rPr>
          <w:rFonts w:ascii="Times New Roman" w:eastAsiaTheme="minorEastAsia" w:hAnsi="Times New Roman" w:cs="Times New Roman"/>
          <w:b/>
          <w:sz w:val="26"/>
          <w:szCs w:val="26"/>
          <w:u w:val="single"/>
          <w:lang w:eastAsia="fr-FR"/>
        </w:rPr>
        <w:t>dénaturation</w:t>
      </w:r>
      <w:r>
        <w:rPr>
          <w:rFonts w:ascii="Times New Roman" w:eastAsiaTheme="minorEastAsia" w:hAnsi="Times New Roman" w:cs="Times New Roman"/>
          <w:bCs/>
          <w:sz w:val="26"/>
          <w:szCs w:val="26"/>
          <w:lang w:eastAsia="fr-FR"/>
        </w:rPr>
        <w:t xml:space="preserve"> dès lors que, comme le faisait valoir l’association « Ouvre-boîte », il ressortait des pièces du dossier que le CNB disposait des informations correspondantes, qui étaient </w:t>
      </w:r>
      <w:r w:rsidR="00D23215">
        <w:rPr>
          <w:rFonts w:ascii="Times New Roman" w:eastAsiaTheme="minorEastAsia" w:hAnsi="Times New Roman" w:cs="Times New Roman"/>
          <w:bCs/>
          <w:sz w:val="26"/>
          <w:szCs w:val="26"/>
          <w:lang w:eastAsia="fr-FR"/>
        </w:rPr>
        <w:t>collectées par l’ordre des avocats au barreau de Paris notamment, et dont le traitement ne posait aucune difficulté particulière (p. 5 du mémoire en réplique de l’association devant le TA Paris).</w:t>
      </w:r>
    </w:p>
    <w:p w14:paraId="4F176D21" w14:textId="3B029011" w:rsidR="00D23215"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La censure s’impose définitivement.</w:t>
      </w:r>
    </w:p>
    <w:p w14:paraId="1D8FEC89" w14:textId="46A156A0" w:rsidR="00D23215"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3685115E" w14:textId="77777777" w:rsidR="00D23215"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29101C0" w14:textId="6C94A36C" w:rsidR="00D23215" w:rsidRDefault="00D23215" w:rsidP="00D23215">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w:t>
      </w:r>
    </w:p>
    <w:p w14:paraId="1D4E6278" w14:textId="29F80370" w:rsidR="00D23215"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5D909FD" w14:textId="2144398D" w:rsidR="00D23215"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sidRPr="00D23215">
        <w:rPr>
          <w:rFonts w:ascii="Times New Roman" w:eastAsiaTheme="minorEastAsia" w:hAnsi="Times New Roman" w:cs="Times New Roman"/>
          <w:b/>
          <w:sz w:val="26"/>
          <w:szCs w:val="26"/>
          <w:lang w:eastAsia="fr-FR"/>
        </w:rPr>
        <w:lastRenderedPageBreak/>
        <w:t>21.</w:t>
      </w:r>
      <w:r>
        <w:rPr>
          <w:rFonts w:ascii="Times New Roman" w:eastAsiaTheme="minorEastAsia" w:hAnsi="Times New Roman" w:cs="Times New Roman"/>
          <w:bCs/>
          <w:sz w:val="26"/>
          <w:szCs w:val="26"/>
          <w:lang w:eastAsia="fr-FR"/>
        </w:rPr>
        <w:t xml:space="preserve"> Après avoir annulé le jugement attaqué, le Conseil d’Etat devra régler l’affaire au fond en application de l’article L. 821-2 du code de justice administrative et, compte tenu de ce qui vient d’être exposé et de ses écritures de première instance, faire droit en tout ou parties aux conclusions présentées par l’association « Ouvre-boîte » devant le tribunal administratif de Paris.</w:t>
      </w:r>
    </w:p>
    <w:p w14:paraId="5160A545" w14:textId="25020BCE" w:rsidR="00D23215"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5A8B9F66" w14:textId="77777777" w:rsidR="00D23215"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410F092E" w14:textId="78E00EB6" w:rsidR="00D23215" w:rsidRDefault="00D23215" w:rsidP="00D23215">
      <w:pPr>
        <w:tabs>
          <w:tab w:val="left" w:pos="1701"/>
        </w:tabs>
        <w:spacing w:before="120" w:after="120" w:line="240" w:lineRule="auto"/>
        <w:ind w:left="567" w:right="6"/>
        <w:jc w:val="center"/>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w:t>
      </w:r>
    </w:p>
    <w:p w14:paraId="03057E5A" w14:textId="77777777" w:rsidR="00D23215" w:rsidRPr="00061E54" w:rsidRDefault="00D23215"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p>
    <w:p w14:paraId="7AA037D2" w14:textId="77092CCD" w:rsidR="000E3E20" w:rsidRDefault="00061E54" w:rsidP="006D73EF">
      <w:pPr>
        <w:tabs>
          <w:tab w:val="left" w:pos="1701"/>
        </w:tabs>
        <w:spacing w:before="120" w:after="120" w:line="240" w:lineRule="auto"/>
        <w:ind w:left="567" w:right="6"/>
        <w:jc w:val="both"/>
        <w:rPr>
          <w:rFonts w:ascii="Times New Roman" w:eastAsiaTheme="minorEastAsia" w:hAnsi="Times New Roman" w:cs="Times New Roman"/>
          <w:bCs/>
          <w:sz w:val="26"/>
          <w:szCs w:val="26"/>
          <w:lang w:eastAsia="fr-FR"/>
        </w:rPr>
      </w:pPr>
      <w:r>
        <w:rPr>
          <w:rFonts w:ascii="Times New Roman" w:eastAsiaTheme="minorEastAsia" w:hAnsi="Times New Roman" w:cs="Times New Roman"/>
          <w:bCs/>
          <w:sz w:val="26"/>
          <w:szCs w:val="26"/>
          <w:lang w:eastAsia="fr-FR"/>
        </w:rPr>
        <w:t xml:space="preserve"> </w:t>
      </w:r>
    </w:p>
    <w:p w14:paraId="4F4B5F68" w14:textId="572531C6" w:rsidR="00C45E14" w:rsidRPr="004549D4" w:rsidRDefault="00C45E14" w:rsidP="00C45E14">
      <w:pPr>
        <w:tabs>
          <w:tab w:val="left" w:pos="1701"/>
        </w:tabs>
        <w:spacing w:before="120" w:after="120" w:line="240" w:lineRule="auto"/>
        <w:ind w:left="567" w:right="6"/>
        <w:jc w:val="center"/>
        <w:rPr>
          <w:rFonts w:ascii="Times New Roman" w:eastAsiaTheme="minorEastAsia" w:hAnsi="Times New Roman" w:cs="Times New Roman"/>
          <w:b/>
          <w:sz w:val="26"/>
          <w:szCs w:val="26"/>
          <w:u w:val="single"/>
          <w:lang w:eastAsia="fr-FR"/>
        </w:rPr>
      </w:pPr>
      <w:r w:rsidRPr="004549D4">
        <w:rPr>
          <w:rFonts w:ascii="Times New Roman" w:eastAsiaTheme="minorEastAsia" w:hAnsi="Times New Roman" w:cs="Times New Roman"/>
          <w:b/>
          <w:sz w:val="26"/>
          <w:szCs w:val="26"/>
          <w:u w:val="single"/>
          <w:lang w:eastAsia="fr-FR"/>
        </w:rPr>
        <w:t>PAR CES MOTIFS</w:t>
      </w:r>
    </w:p>
    <w:p w14:paraId="1997FB17" w14:textId="77777777" w:rsidR="00C45E14" w:rsidRPr="004549D4" w:rsidRDefault="00C45E14" w:rsidP="00C45E14">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768860D1" w14:textId="77777777" w:rsidR="00C45E14" w:rsidRPr="004549D4" w:rsidRDefault="00C45E14" w:rsidP="00C45E14">
      <w:pPr>
        <w:keepLines/>
        <w:tabs>
          <w:tab w:val="left" w:pos="1701"/>
          <w:tab w:val="center" w:pos="4536"/>
        </w:tabs>
        <w:spacing w:before="120" w:after="120" w:line="240" w:lineRule="auto"/>
        <w:ind w:left="567"/>
        <w:rPr>
          <w:rFonts w:ascii="Times New Roman" w:eastAsiaTheme="minorEastAsia" w:hAnsi="Times New Roman" w:cs="Times New Roman"/>
          <w:sz w:val="26"/>
          <w:szCs w:val="26"/>
          <w:lang w:eastAsia="fr-FR"/>
        </w:rPr>
      </w:pPr>
    </w:p>
    <w:p w14:paraId="3DF6B290" w14:textId="52687EEA" w:rsidR="00C45E14" w:rsidRPr="004549D4" w:rsidRDefault="00C45E14" w:rsidP="00C45E14">
      <w:pPr>
        <w:keepLines/>
        <w:tabs>
          <w:tab w:val="left" w:pos="1701"/>
          <w:tab w:val="center" w:pos="1985"/>
        </w:tabs>
        <w:spacing w:before="120" w:after="120" w:line="240" w:lineRule="auto"/>
        <w:ind w:left="567"/>
        <w:jc w:val="both"/>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 xml:space="preserve">Et tous autres à produire, déduire ou suppléer, au besoin même d’office, </w:t>
      </w:r>
      <w:r>
        <w:rPr>
          <w:rFonts w:ascii="Times New Roman" w:eastAsiaTheme="minorEastAsia" w:hAnsi="Times New Roman" w:cs="Times New Roman"/>
          <w:sz w:val="26"/>
          <w:szCs w:val="26"/>
          <w:lang w:eastAsia="fr-FR"/>
        </w:rPr>
        <w:t>l’association « Ouvre-boîte »</w:t>
      </w:r>
      <w:r w:rsidRPr="004549D4">
        <w:rPr>
          <w:rFonts w:ascii="Times New Roman" w:eastAsiaTheme="minorEastAsia" w:hAnsi="Times New Roman" w:cs="Times New Roman"/>
          <w:sz w:val="26"/>
          <w:szCs w:val="26"/>
          <w:lang w:eastAsia="fr-FR"/>
        </w:rPr>
        <w:t xml:space="preserve"> </w:t>
      </w:r>
      <w:r>
        <w:rPr>
          <w:rFonts w:ascii="Times New Roman" w:eastAsiaTheme="minorEastAsia" w:hAnsi="Times New Roman" w:cs="Times New Roman"/>
          <w:sz w:val="26"/>
          <w:szCs w:val="26"/>
          <w:lang w:eastAsia="fr-FR"/>
        </w:rPr>
        <w:t>persiste, avec confiance, dans les conclusions de son pourvoi.</w:t>
      </w:r>
    </w:p>
    <w:p w14:paraId="3C2D1B60" w14:textId="77777777" w:rsidR="00C45E14" w:rsidRPr="004549D4" w:rsidRDefault="00C45E14" w:rsidP="00C45E14">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297FFC48" w14:textId="77777777" w:rsidR="00C45E14" w:rsidRPr="004549D4" w:rsidRDefault="00C45E14" w:rsidP="00C45E14">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2DFE17CB" w14:textId="77777777" w:rsidR="00C45E14" w:rsidRPr="004549D4" w:rsidRDefault="00C45E14" w:rsidP="00C45E14">
      <w:pPr>
        <w:keepLines/>
        <w:tabs>
          <w:tab w:val="left" w:pos="1701"/>
          <w:tab w:val="center" w:pos="4536"/>
        </w:tabs>
        <w:spacing w:before="120" w:after="120" w:line="240" w:lineRule="auto"/>
        <w:rPr>
          <w:rFonts w:ascii="Times New Roman" w:eastAsiaTheme="minorEastAsia" w:hAnsi="Times New Roman" w:cs="Times New Roman"/>
          <w:sz w:val="24"/>
          <w:szCs w:val="24"/>
          <w:u w:val="single"/>
          <w:lang w:eastAsia="fr-FR"/>
        </w:rPr>
      </w:pPr>
    </w:p>
    <w:p w14:paraId="07E3A516" w14:textId="77777777" w:rsidR="00C45E14" w:rsidRPr="004549D4" w:rsidRDefault="00C45E14" w:rsidP="00C45E14">
      <w:pPr>
        <w:keepLines/>
        <w:tabs>
          <w:tab w:val="left" w:pos="1701"/>
          <w:tab w:val="center" w:pos="4536"/>
        </w:tabs>
        <w:spacing w:after="0" w:line="240" w:lineRule="auto"/>
        <w:ind w:firstLine="709"/>
        <w:jc w:val="center"/>
        <w:rPr>
          <w:rFonts w:ascii="Times New Roman" w:eastAsiaTheme="minorEastAsia" w:hAnsi="Times New Roman" w:cs="Times New Roman"/>
          <w:sz w:val="26"/>
          <w:szCs w:val="26"/>
          <w:lang w:eastAsia="fr-FR"/>
        </w:rPr>
      </w:pPr>
      <w:r w:rsidRPr="004549D4">
        <w:rPr>
          <w:rFonts w:ascii="Times New Roman" w:eastAsiaTheme="minorEastAsia" w:hAnsi="Times New Roman" w:cs="Times New Roman"/>
          <w:sz w:val="26"/>
          <w:szCs w:val="26"/>
          <w:lang w:eastAsia="fr-FR"/>
        </w:rPr>
        <w:t>SCP NICOLAŸ – de LANOUVELLE – HANNOTIN</w:t>
      </w:r>
    </w:p>
    <w:p w14:paraId="4340E468" w14:textId="77777777" w:rsidR="00C45E14" w:rsidRPr="004549D4" w:rsidRDefault="00C45E14" w:rsidP="00C45E14">
      <w:pPr>
        <w:keepLines/>
        <w:tabs>
          <w:tab w:val="left" w:pos="1701"/>
          <w:tab w:val="center" w:pos="4536"/>
        </w:tabs>
        <w:spacing w:after="0" w:line="240" w:lineRule="auto"/>
        <w:ind w:firstLine="709"/>
        <w:jc w:val="center"/>
      </w:pPr>
      <w:r w:rsidRPr="004549D4">
        <w:rPr>
          <w:rFonts w:ascii="Times New Roman" w:eastAsiaTheme="minorEastAsia" w:hAnsi="Times New Roman" w:cs="Times New Roman"/>
          <w:sz w:val="26"/>
          <w:szCs w:val="26"/>
          <w:lang w:eastAsia="fr-FR"/>
        </w:rPr>
        <w:t>Avocat au Conseil d’État et à la Cour de cassation</w:t>
      </w:r>
    </w:p>
    <w:p w14:paraId="2B873217" w14:textId="77777777" w:rsidR="00C45E14" w:rsidRPr="004549D4" w:rsidRDefault="00C45E14" w:rsidP="00C45E14">
      <w:pPr>
        <w:spacing w:after="160" w:line="259" w:lineRule="auto"/>
      </w:pPr>
    </w:p>
    <w:p w14:paraId="7C995AB1" w14:textId="77777777" w:rsidR="00C45E14" w:rsidRPr="004549D4" w:rsidRDefault="00C45E14" w:rsidP="00C45E14">
      <w:pPr>
        <w:spacing w:after="160" w:line="259" w:lineRule="auto"/>
      </w:pPr>
    </w:p>
    <w:p w14:paraId="22393D4D" w14:textId="77777777" w:rsidR="00C45E14" w:rsidRPr="004549D4" w:rsidRDefault="00C45E14" w:rsidP="00C45E14">
      <w:pPr>
        <w:spacing w:after="160" w:line="259" w:lineRule="auto"/>
      </w:pPr>
    </w:p>
    <w:p w14:paraId="08F17656" w14:textId="77777777" w:rsidR="00C45E14" w:rsidRDefault="00C45E14" w:rsidP="00C45E14"/>
    <w:p w14:paraId="32558009" w14:textId="77777777" w:rsidR="00C45E14" w:rsidRDefault="00C45E14" w:rsidP="00C45E14"/>
    <w:p w14:paraId="79F57B3E" w14:textId="77777777" w:rsidR="00131150" w:rsidRDefault="00131150"/>
    <w:sectPr w:rsidR="00131150" w:rsidSect="00B93FB8">
      <w:headerReference w:type="even" r:id="rId8"/>
      <w:headerReference w:type="default" r:id="rId9"/>
      <w:headerReference w:type="first" r:id="rId10"/>
      <w:pgSz w:w="11900" w:h="16840"/>
      <w:pgMar w:top="1418" w:right="1701" w:bottom="1418"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DECA" w14:textId="77777777" w:rsidR="0027251E" w:rsidRDefault="0027251E" w:rsidP="005174E9">
      <w:pPr>
        <w:spacing w:after="0" w:line="240" w:lineRule="auto"/>
      </w:pPr>
      <w:r>
        <w:separator/>
      </w:r>
    </w:p>
  </w:endnote>
  <w:endnote w:type="continuationSeparator" w:id="0">
    <w:p w14:paraId="5F3BF490" w14:textId="77777777" w:rsidR="0027251E" w:rsidRDefault="0027251E" w:rsidP="0051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17B1" w14:textId="77777777" w:rsidR="0027251E" w:rsidRDefault="0027251E" w:rsidP="005174E9">
      <w:pPr>
        <w:spacing w:after="0" w:line="240" w:lineRule="auto"/>
      </w:pPr>
      <w:r>
        <w:separator/>
      </w:r>
    </w:p>
  </w:footnote>
  <w:footnote w:type="continuationSeparator" w:id="0">
    <w:p w14:paraId="1B51A73F" w14:textId="77777777" w:rsidR="0027251E" w:rsidRDefault="0027251E" w:rsidP="005174E9">
      <w:pPr>
        <w:spacing w:after="0" w:line="240" w:lineRule="auto"/>
      </w:pPr>
      <w:r>
        <w:continuationSeparator/>
      </w:r>
    </w:p>
  </w:footnote>
  <w:footnote w:id="1">
    <w:p w14:paraId="509BC689" w14:textId="106E03F9" w:rsidR="005174E9" w:rsidRPr="00B6133A" w:rsidRDefault="005174E9" w:rsidP="001F0E74">
      <w:pPr>
        <w:pStyle w:val="Notedebasdepage"/>
        <w:jc w:val="both"/>
        <w:rPr>
          <w:rFonts w:ascii="Times New Roman" w:hAnsi="Times New Roman" w:cs="Times New Roman"/>
          <w:lang w:val="en-US"/>
        </w:rPr>
      </w:pPr>
      <w:r w:rsidRPr="005174E9">
        <w:rPr>
          <w:rStyle w:val="Appelnotedebasdep"/>
          <w:rFonts w:ascii="Times New Roman" w:hAnsi="Times New Roman" w:cs="Times New Roman"/>
        </w:rPr>
        <w:footnoteRef/>
      </w:r>
      <w:r w:rsidRPr="00B6133A">
        <w:rPr>
          <w:rFonts w:ascii="Times New Roman" w:hAnsi="Times New Roman" w:cs="Times New Roman"/>
          <w:lang w:val="en-US"/>
        </w:rPr>
        <w:t xml:space="preserve"> CRPA, art. L. 311-9</w:t>
      </w:r>
      <w:r w:rsidR="00A06118" w:rsidRPr="00B6133A">
        <w:rPr>
          <w:rFonts w:ascii="Times New Roman" w:hAnsi="Times New Roman" w:cs="Times New Roman"/>
          <w:lang w:val="en-US"/>
        </w:rPr>
        <w:t xml:space="preserve"> (4°).</w:t>
      </w:r>
    </w:p>
  </w:footnote>
  <w:footnote w:id="2">
    <w:p w14:paraId="4DBCC422" w14:textId="75DFC865" w:rsidR="001F0E74" w:rsidRPr="001F0E74" w:rsidRDefault="001F0E74" w:rsidP="001F0E74">
      <w:pPr>
        <w:pStyle w:val="Notedebasdepage"/>
        <w:jc w:val="both"/>
        <w:rPr>
          <w:rFonts w:ascii="Times New Roman" w:hAnsi="Times New Roman" w:cs="Times New Roman"/>
        </w:rPr>
      </w:pPr>
      <w:r w:rsidRPr="001F0E74">
        <w:rPr>
          <w:rStyle w:val="Appelnotedebasdep"/>
          <w:rFonts w:ascii="Times New Roman" w:hAnsi="Times New Roman" w:cs="Times New Roman"/>
        </w:rPr>
        <w:footnoteRef/>
      </w:r>
      <w:r w:rsidRPr="00B6133A">
        <w:rPr>
          <w:rFonts w:ascii="Times New Roman" w:hAnsi="Times New Roman" w:cs="Times New Roman"/>
          <w:lang w:val="en-US"/>
        </w:rPr>
        <w:t xml:space="preserve"> CRPA, art. </w:t>
      </w:r>
      <w:r>
        <w:rPr>
          <w:rFonts w:ascii="Times New Roman" w:hAnsi="Times New Roman" w:cs="Times New Roman"/>
        </w:rPr>
        <w:t>L. 300-4</w:t>
      </w:r>
      <w:r w:rsidR="00A06118">
        <w:rPr>
          <w:rFonts w:ascii="Times New Roman" w:hAnsi="Times New Roman" w:cs="Times New Roman"/>
        </w:rPr>
        <w:t>.</w:t>
      </w:r>
    </w:p>
  </w:footnote>
  <w:footnote w:id="3">
    <w:p w14:paraId="383A1D55" w14:textId="72314019" w:rsidR="0030458F" w:rsidRPr="0030458F" w:rsidRDefault="0030458F" w:rsidP="0030458F">
      <w:pPr>
        <w:pStyle w:val="Notedebasdepage"/>
        <w:jc w:val="both"/>
        <w:rPr>
          <w:rFonts w:ascii="Times New Roman" w:hAnsi="Times New Roman" w:cs="Times New Roman"/>
        </w:rPr>
      </w:pPr>
      <w:r w:rsidRPr="0030458F">
        <w:rPr>
          <w:rStyle w:val="Appelnotedebasdep"/>
          <w:rFonts w:ascii="Times New Roman" w:hAnsi="Times New Roman" w:cs="Times New Roman"/>
        </w:rPr>
        <w:footnoteRef/>
      </w:r>
      <w:r w:rsidRPr="0030458F">
        <w:rPr>
          <w:rFonts w:ascii="Times New Roman" w:hAnsi="Times New Roman" w:cs="Times New Roman"/>
        </w:rPr>
        <w:t xml:space="preserve"> </w:t>
      </w:r>
      <w:r>
        <w:rPr>
          <w:rFonts w:ascii="Times New Roman" w:hAnsi="Times New Roman" w:cs="Times New Roman"/>
        </w:rPr>
        <w:t xml:space="preserve">Ces organismes sont chargés, à ce titre, d’une mission de service public qui leur a été confiée par la loi : CE Ass. 2 avril 1943, </w:t>
      </w:r>
      <w:r w:rsidRPr="0030458F">
        <w:rPr>
          <w:rFonts w:ascii="Times New Roman" w:hAnsi="Times New Roman" w:cs="Times New Roman"/>
          <w:i/>
          <w:iCs/>
        </w:rPr>
        <w:t>Bouguen</w:t>
      </w:r>
      <w:r>
        <w:rPr>
          <w:rFonts w:ascii="Times New Roman" w:hAnsi="Times New Roman" w:cs="Times New Roman"/>
        </w:rPr>
        <w:t>, Rec. 86</w:t>
      </w:r>
      <w:r w:rsidR="00B65461">
        <w:rPr>
          <w:rFonts w:ascii="Times New Roman" w:hAnsi="Times New Roman" w:cs="Times New Roman"/>
        </w:rPr>
        <w:t xml:space="preserve"> (pour les ordres professionnels</w:t>
      </w:r>
      <w:r w:rsidR="00A06118">
        <w:rPr>
          <w:rFonts w:ascii="Times New Roman" w:hAnsi="Times New Roman" w:cs="Times New Roman"/>
        </w:rPr>
        <w:t>,</w:t>
      </w:r>
      <w:r w:rsidR="00B65461">
        <w:rPr>
          <w:rFonts w:ascii="Times New Roman" w:hAnsi="Times New Roman" w:cs="Times New Roman"/>
        </w:rPr>
        <w:t xml:space="preserve"> de manière générale) ; 17 novembre 2004, </w:t>
      </w:r>
      <w:r w:rsidR="00B65461" w:rsidRPr="00C6162E">
        <w:rPr>
          <w:rFonts w:ascii="Times New Roman" w:hAnsi="Times New Roman" w:cs="Times New Roman"/>
          <w:i/>
          <w:iCs/>
        </w:rPr>
        <w:t>SEL Landwell et autres</w:t>
      </w:r>
      <w:r w:rsidR="00B65461">
        <w:rPr>
          <w:rFonts w:ascii="Times New Roman" w:hAnsi="Times New Roman" w:cs="Times New Roman"/>
        </w:rPr>
        <w:t>, n° 268075, Rec. 427</w:t>
      </w:r>
      <w:r w:rsidR="00A06118">
        <w:rPr>
          <w:rFonts w:ascii="Times New Roman" w:hAnsi="Times New Roman" w:cs="Times New Roman"/>
        </w:rPr>
        <w:t xml:space="preserve">, </w:t>
      </w:r>
      <w:r w:rsidR="00B65461">
        <w:rPr>
          <w:rFonts w:ascii="Times New Roman" w:hAnsi="Times New Roman" w:cs="Times New Roman"/>
        </w:rPr>
        <w:t>JCP 2004.II.10188, concl. Y. Aguila (pour le CNB</w:t>
      </w:r>
      <w:r w:rsidR="00A06118">
        <w:rPr>
          <w:rFonts w:ascii="Times New Roman" w:hAnsi="Times New Roman" w:cs="Times New Roman"/>
        </w:rPr>
        <w:t>,</w:t>
      </w:r>
      <w:r w:rsidR="00B65461">
        <w:rPr>
          <w:rFonts w:ascii="Times New Roman" w:hAnsi="Times New Roman" w:cs="Times New Roman"/>
        </w:rPr>
        <w:t xml:space="preserve"> en particulier).</w:t>
      </w:r>
    </w:p>
  </w:footnote>
  <w:footnote w:id="4">
    <w:p w14:paraId="56AEEA05" w14:textId="0D74EEF0" w:rsidR="00A36684" w:rsidRPr="00A36684" w:rsidRDefault="00A36684">
      <w:pPr>
        <w:pStyle w:val="Notedebasdepage"/>
        <w:rPr>
          <w:rFonts w:ascii="Times New Roman" w:hAnsi="Times New Roman" w:cs="Times New Roman"/>
        </w:rPr>
      </w:pPr>
      <w:r w:rsidRPr="00A36684">
        <w:rPr>
          <w:rStyle w:val="Appelnotedebasdep"/>
          <w:rFonts w:ascii="Times New Roman" w:hAnsi="Times New Roman" w:cs="Times New Roman"/>
        </w:rPr>
        <w:footnoteRef/>
      </w:r>
      <w:r w:rsidRPr="00A36684">
        <w:rPr>
          <w:rFonts w:ascii="Times New Roman" w:hAnsi="Times New Roman" w:cs="Times New Roman"/>
        </w:rPr>
        <w:t xml:space="preserve"> CRPA, art. R. 311-12 et R. 311-13.</w:t>
      </w:r>
    </w:p>
  </w:footnote>
  <w:footnote w:id="5">
    <w:p w14:paraId="51B20123" w14:textId="024B90FF" w:rsidR="005B79B1" w:rsidRPr="00024395" w:rsidRDefault="005B79B1" w:rsidP="00024395">
      <w:pPr>
        <w:pStyle w:val="Notedebasdepage"/>
        <w:jc w:val="both"/>
        <w:rPr>
          <w:rFonts w:ascii="Times New Roman" w:hAnsi="Times New Roman" w:cs="Times New Roman"/>
        </w:rPr>
      </w:pPr>
      <w:r w:rsidRPr="00024395">
        <w:rPr>
          <w:rStyle w:val="Appelnotedebasdep"/>
          <w:rFonts w:ascii="Times New Roman" w:hAnsi="Times New Roman" w:cs="Times New Roman"/>
        </w:rPr>
        <w:footnoteRef/>
      </w:r>
      <w:r w:rsidRPr="00024395">
        <w:rPr>
          <w:rFonts w:ascii="Times New Roman" w:hAnsi="Times New Roman" w:cs="Times New Roman"/>
        </w:rPr>
        <w:t xml:space="preserve"> L’article 21-1 de la loi du 31 décembre 1971 modifiée dispose, en son deuxième alinéa, que : « Sur la base des informations communiquées par les conseils de l’ordre en application du 1° bis de l’article 17, le CNB établit, met à jour et met à disposition en ligne un annuaire national des avocats inscrits au tableau d’un barreau</w:t>
      </w:r>
      <w:r w:rsidR="00024395" w:rsidRPr="00024395">
        <w:rPr>
          <w:rFonts w:ascii="Times New Roman" w:hAnsi="Times New Roman" w:cs="Times New Roman"/>
        </w:rPr>
        <w:t> » ; l’article 17</w:t>
      </w:r>
      <w:r w:rsidR="00024395">
        <w:rPr>
          <w:rFonts w:ascii="Times New Roman" w:hAnsi="Times New Roman" w:cs="Times New Roman"/>
        </w:rPr>
        <w:t xml:space="preserve"> prévoit quant à lui que « Le conseil de l’ordre (…) a pour tâches, notamment : (…) 1° bis De communiquer au CNB la liste des avocats inscrits au tableau, ainsi que les mises à jour périodiques, selon les modalités fixées par le CNB ».</w:t>
      </w:r>
    </w:p>
  </w:footnote>
  <w:footnote w:id="6">
    <w:p w14:paraId="763FEED3" w14:textId="601177D1" w:rsidR="0047250A" w:rsidRPr="005B79B1" w:rsidRDefault="0047250A">
      <w:pPr>
        <w:pStyle w:val="Notedebasdepage"/>
        <w:rPr>
          <w:rFonts w:ascii="Times New Roman" w:hAnsi="Times New Roman" w:cs="Times New Roman"/>
          <w:lang w:val="en-US"/>
        </w:rPr>
      </w:pPr>
      <w:r w:rsidRPr="0047250A">
        <w:rPr>
          <w:rStyle w:val="Appelnotedebasdep"/>
          <w:rFonts w:ascii="Times New Roman" w:hAnsi="Times New Roman" w:cs="Times New Roman"/>
        </w:rPr>
        <w:footnoteRef/>
      </w:r>
      <w:r w:rsidRPr="00024395">
        <w:rPr>
          <w:rFonts w:ascii="Times New Roman" w:hAnsi="Times New Roman" w:cs="Times New Roman"/>
        </w:rPr>
        <w:t xml:space="preserve"> CJA, art. </w:t>
      </w:r>
      <w:r w:rsidRPr="005B79B1">
        <w:rPr>
          <w:rFonts w:ascii="Times New Roman" w:hAnsi="Times New Roman" w:cs="Times New Roman"/>
          <w:lang w:val="en-US"/>
        </w:rPr>
        <w:t>R. 811-1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94FE" w14:textId="77777777" w:rsidR="004E4B84" w:rsidRDefault="00532C53" w:rsidP="00EF4B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E97ED6" w14:textId="77777777" w:rsidR="004E4B84" w:rsidRDefault="0027251E" w:rsidP="00B93FB8">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A9A3" w14:textId="77777777" w:rsidR="004E4B84" w:rsidRPr="00B93FB8" w:rsidRDefault="00532C53" w:rsidP="00EF4B34">
    <w:pPr>
      <w:pStyle w:val="En-tte"/>
      <w:framePr w:wrap="around" w:vAnchor="text" w:hAnchor="margin" w:xAlign="right" w:y="1"/>
      <w:rPr>
        <w:rStyle w:val="Numrodepage"/>
        <w:rFonts w:ascii="Times New Roman" w:hAnsi="Times New Roman" w:cs="Times New Roman"/>
      </w:rPr>
    </w:pPr>
    <w:r w:rsidRPr="00B93FB8">
      <w:rPr>
        <w:rStyle w:val="Numrodepage"/>
        <w:rFonts w:ascii="Times New Roman" w:hAnsi="Times New Roman" w:cs="Times New Roman"/>
      </w:rPr>
      <w:fldChar w:fldCharType="begin"/>
    </w:r>
    <w:r w:rsidRPr="00B93FB8">
      <w:rPr>
        <w:rStyle w:val="Numrodepage"/>
        <w:rFonts w:ascii="Times New Roman" w:hAnsi="Times New Roman" w:cs="Times New Roman"/>
      </w:rPr>
      <w:instrText xml:space="preserve">PAGE  </w:instrText>
    </w:r>
    <w:r w:rsidRPr="00B93FB8">
      <w:rPr>
        <w:rStyle w:val="Numrodepage"/>
        <w:rFonts w:ascii="Times New Roman" w:hAnsi="Times New Roman" w:cs="Times New Roman"/>
      </w:rPr>
      <w:fldChar w:fldCharType="separate"/>
    </w:r>
    <w:r>
      <w:rPr>
        <w:rStyle w:val="Numrodepage"/>
        <w:rFonts w:ascii="Times New Roman" w:hAnsi="Times New Roman" w:cs="Times New Roman"/>
        <w:noProof/>
      </w:rPr>
      <w:t>4</w:t>
    </w:r>
    <w:r w:rsidRPr="00B93FB8">
      <w:rPr>
        <w:rStyle w:val="Numrodepage"/>
        <w:rFonts w:ascii="Times New Roman" w:hAnsi="Times New Roman" w:cs="Times New Roman"/>
      </w:rPr>
      <w:fldChar w:fldCharType="end"/>
    </w:r>
  </w:p>
  <w:p w14:paraId="79919A38" w14:textId="77777777" w:rsidR="004E4B84" w:rsidRDefault="0027251E" w:rsidP="00B93FB8">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87E3" w14:textId="77777777" w:rsidR="00B26FEB" w:rsidRDefault="0027251E"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p>
  <w:p w14:paraId="6B07F79D" w14:textId="77777777" w:rsidR="00B26FEB" w:rsidRPr="00B26FEB" w:rsidRDefault="00532C53" w:rsidP="00292C4A">
    <w:pPr>
      <w:pBdr>
        <w:top w:val="single" w:sz="4" w:space="1" w:color="auto"/>
        <w:left w:val="single" w:sz="4" w:space="4" w:color="auto"/>
        <w:bottom w:val="single" w:sz="4" w:space="1" w:color="auto"/>
        <w:right w:val="single" w:sz="4" w:space="4" w:color="auto"/>
      </w:pBdr>
      <w:tabs>
        <w:tab w:val="left" w:pos="1843"/>
        <w:tab w:val="left" w:pos="1985"/>
        <w:tab w:val="left" w:pos="2127"/>
        <w:tab w:val="left" w:pos="8789"/>
      </w:tabs>
      <w:spacing w:after="0" w:line="240" w:lineRule="auto"/>
      <w:ind w:left="-1560" w:right="5804"/>
      <w:jc w:val="center"/>
      <w:rPr>
        <w:rFonts w:ascii="Times New Roman" w:eastAsiaTheme="minorEastAsia" w:hAnsi="Times New Roman" w:cs="Times New Roman"/>
        <w:b/>
        <w:sz w:val="14"/>
        <w:szCs w:val="24"/>
        <w:lang w:eastAsia="fr-FR"/>
      </w:rPr>
    </w:pPr>
    <w:r w:rsidRPr="00B26FEB">
      <w:rPr>
        <w:rFonts w:ascii="Times New Roman" w:eastAsiaTheme="minorEastAsia" w:hAnsi="Times New Roman" w:cs="Times New Roman"/>
        <w:b/>
        <w:sz w:val="14"/>
        <w:szCs w:val="24"/>
        <w:lang w:eastAsia="fr-FR"/>
      </w:rPr>
      <w:t>SCP NICOLAŸ - de LANOUVELLE -</w:t>
    </w:r>
    <w:r>
      <w:rPr>
        <w:rFonts w:ascii="Times New Roman" w:eastAsiaTheme="minorEastAsia" w:hAnsi="Times New Roman" w:cs="Times New Roman"/>
        <w:b/>
        <w:sz w:val="14"/>
        <w:szCs w:val="24"/>
        <w:lang w:eastAsia="fr-FR"/>
      </w:rPr>
      <w:t xml:space="preserve"> </w:t>
    </w:r>
    <w:r w:rsidRPr="00B26FEB">
      <w:rPr>
        <w:rFonts w:ascii="Times New Roman" w:eastAsiaTheme="minorEastAsia" w:hAnsi="Times New Roman" w:cs="Times New Roman"/>
        <w:b/>
        <w:sz w:val="14"/>
        <w:szCs w:val="24"/>
        <w:lang w:eastAsia="fr-FR"/>
      </w:rPr>
      <w:t>HANNOTIN</w:t>
    </w:r>
  </w:p>
  <w:p w14:paraId="2BB32E75" w14:textId="77777777" w:rsidR="00B26FEB" w:rsidRPr="00B26FEB" w:rsidRDefault="00532C53"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r w:rsidRPr="00B26FEB">
      <w:rPr>
        <w:rFonts w:ascii="Times New Roman" w:eastAsiaTheme="minorEastAsia" w:hAnsi="Times New Roman" w:cs="Times New Roman"/>
        <w:i/>
        <w:sz w:val="14"/>
        <w:szCs w:val="24"/>
        <w:lang w:eastAsia="fr-FR"/>
      </w:rPr>
      <w:t xml:space="preserve">Avocat au Conseil d'Etat </w:t>
    </w:r>
  </w:p>
  <w:p w14:paraId="140A120D" w14:textId="77777777" w:rsidR="00B26FEB" w:rsidRPr="00B26FEB" w:rsidRDefault="00532C53"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i/>
        <w:sz w:val="14"/>
        <w:szCs w:val="24"/>
        <w:lang w:eastAsia="fr-FR"/>
      </w:rPr>
    </w:pPr>
    <w:r w:rsidRPr="00B26FEB">
      <w:rPr>
        <w:rFonts w:ascii="Times New Roman" w:eastAsiaTheme="minorEastAsia" w:hAnsi="Times New Roman" w:cs="Times New Roman"/>
        <w:i/>
        <w:sz w:val="14"/>
        <w:szCs w:val="24"/>
        <w:lang w:eastAsia="fr-FR"/>
      </w:rPr>
      <w:t>et à la Cour de cassation</w:t>
    </w:r>
  </w:p>
  <w:p w14:paraId="61634481" w14:textId="77777777" w:rsidR="00B26FEB" w:rsidRPr="00B26FEB" w:rsidRDefault="00532C53"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r w:rsidRPr="00B26FEB">
      <w:rPr>
        <w:rFonts w:ascii="Times New Roman" w:eastAsiaTheme="minorEastAsia" w:hAnsi="Times New Roman" w:cs="Times New Roman"/>
        <w:sz w:val="14"/>
        <w:szCs w:val="24"/>
        <w:lang w:eastAsia="fr-FR"/>
      </w:rPr>
      <w:t>11, rue de Phalsbourg 75017 PARIS</w:t>
    </w:r>
  </w:p>
  <w:p w14:paraId="3847E327" w14:textId="77777777" w:rsidR="00B26FEB" w:rsidRPr="00B26FEB" w:rsidRDefault="0027251E" w:rsidP="00292C4A">
    <w:pPr>
      <w:pBdr>
        <w:top w:val="single" w:sz="4" w:space="1" w:color="auto"/>
        <w:left w:val="single" w:sz="4" w:space="4" w:color="auto"/>
        <w:bottom w:val="single" w:sz="4" w:space="1" w:color="auto"/>
        <w:right w:val="single" w:sz="4" w:space="4" w:color="auto"/>
      </w:pBdr>
      <w:tabs>
        <w:tab w:val="left" w:pos="1843"/>
        <w:tab w:val="left" w:pos="1985"/>
        <w:tab w:val="left" w:pos="2127"/>
      </w:tabs>
      <w:spacing w:after="0" w:line="240" w:lineRule="auto"/>
      <w:ind w:left="-1560" w:right="5804"/>
      <w:jc w:val="center"/>
      <w:rPr>
        <w:rFonts w:ascii="Times New Roman" w:eastAsiaTheme="minorEastAsia" w:hAnsi="Times New Roman" w:cs="Times New Roman"/>
        <w:sz w:val="14"/>
        <w:szCs w:val="24"/>
        <w:lang w:eastAsia="fr-FR"/>
      </w:rPr>
    </w:pPr>
  </w:p>
  <w:p w14:paraId="38E2244A" w14:textId="77777777" w:rsidR="00B26FEB" w:rsidRDefault="0027251E" w:rsidP="00292C4A">
    <w:pPr>
      <w:pStyle w:val="En-tte"/>
      <w:tabs>
        <w:tab w:val="left" w:pos="1843"/>
      </w:tabs>
      <w:ind w:left="-1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7034"/>
    <w:multiLevelType w:val="hybridMultilevel"/>
    <w:tmpl w:val="897E09DC"/>
    <w:lvl w:ilvl="0" w:tplc="04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5E14"/>
    <w:rsid w:val="00024395"/>
    <w:rsid w:val="00032979"/>
    <w:rsid w:val="0005478B"/>
    <w:rsid w:val="00061E54"/>
    <w:rsid w:val="000B681A"/>
    <w:rsid w:val="000E3E20"/>
    <w:rsid w:val="00107CD2"/>
    <w:rsid w:val="001207D6"/>
    <w:rsid w:val="00131150"/>
    <w:rsid w:val="00143DB5"/>
    <w:rsid w:val="0015491B"/>
    <w:rsid w:val="00186974"/>
    <w:rsid w:val="001F0E74"/>
    <w:rsid w:val="0022743A"/>
    <w:rsid w:val="002307F5"/>
    <w:rsid w:val="0027251E"/>
    <w:rsid w:val="002A7D70"/>
    <w:rsid w:val="002C152E"/>
    <w:rsid w:val="002D4ABC"/>
    <w:rsid w:val="003008D2"/>
    <w:rsid w:val="0030458F"/>
    <w:rsid w:val="003931B3"/>
    <w:rsid w:val="003F4F4E"/>
    <w:rsid w:val="004103EB"/>
    <w:rsid w:val="00416061"/>
    <w:rsid w:val="00417D09"/>
    <w:rsid w:val="004569CB"/>
    <w:rsid w:val="00461A77"/>
    <w:rsid w:val="0047250A"/>
    <w:rsid w:val="005174E9"/>
    <w:rsid w:val="005323C7"/>
    <w:rsid w:val="00532C53"/>
    <w:rsid w:val="005350F8"/>
    <w:rsid w:val="00545750"/>
    <w:rsid w:val="005624A3"/>
    <w:rsid w:val="005B79B1"/>
    <w:rsid w:val="00617A76"/>
    <w:rsid w:val="0062099B"/>
    <w:rsid w:val="006D73EF"/>
    <w:rsid w:val="00765028"/>
    <w:rsid w:val="007A067B"/>
    <w:rsid w:val="007C211C"/>
    <w:rsid w:val="007D1442"/>
    <w:rsid w:val="007E0AB9"/>
    <w:rsid w:val="0086564C"/>
    <w:rsid w:val="008A4AC7"/>
    <w:rsid w:val="008C3B51"/>
    <w:rsid w:val="00930011"/>
    <w:rsid w:val="009477F1"/>
    <w:rsid w:val="00962E59"/>
    <w:rsid w:val="009C5436"/>
    <w:rsid w:val="00A02C39"/>
    <w:rsid w:val="00A06118"/>
    <w:rsid w:val="00A36684"/>
    <w:rsid w:val="00A57B85"/>
    <w:rsid w:val="00A84999"/>
    <w:rsid w:val="00A956A1"/>
    <w:rsid w:val="00B042D8"/>
    <w:rsid w:val="00B6133A"/>
    <w:rsid w:val="00B65461"/>
    <w:rsid w:val="00B736CC"/>
    <w:rsid w:val="00B804D1"/>
    <w:rsid w:val="00BC23C5"/>
    <w:rsid w:val="00C00B52"/>
    <w:rsid w:val="00C45E14"/>
    <w:rsid w:val="00C6162E"/>
    <w:rsid w:val="00C81E99"/>
    <w:rsid w:val="00D23215"/>
    <w:rsid w:val="00D3138D"/>
    <w:rsid w:val="00DC3871"/>
    <w:rsid w:val="00DE29DE"/>
    <w:rsid w:val="00F642E4"/>
    <w:rsid w:val="00FF5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AD0C"/>
  <w15:chartTrackingRefBased/>
  <w15:docId w15:val="{9CC4D638-CEA1-4475-9892-C0529F10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1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45E1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45E14"/>
  </w:style>
  <w:style w:type="character" w:styleId="Numrodepage">
    <w:name w:val="page number"/>
    <w:basedOn w:val="Policepardfaut"/>
    <w:uiPriority w:val="99"/>
    <w:semiHidden/>
    <w:unhideWhenUsed/>
    <w:rsid w:val="00C45E14"/>
  </w:style>
  <w:style w:type="paragraph" w:styleId="Notedebasdepage">
    <w:name w:val="footnote text"/>
    <w:basedOn w:val="Normal"/>
    <w:link w:val="NotedebasdepageCar"/>
    <w:uiPriority w:val="99"/>
    <w:semiHidden/>
    <w:unhideWhenUsed/>
    <w:rsid w:val="00517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74E9"/>
    <w:rPr>
      <w:sz w:val="20"/>
      <w:szCs w:val="20"/>
    </w:rPr>
  </w:style>
  <w:style w:type="character" w:styleId="Appelnotedebasdep">
    <w:name w:val="footnote reference"/>
    <w:basedOn w:val="Policepardfaut"/>
    <w:uiPriority w:val="99"/>
    <w:semiHidden/>
    <w:unhideWhenUsed/>
    <w:rsid w:val="00517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4B84B-FC2B-41D3-B59D-1CC96BDA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17</Pages>
  <Words>5620</Words>
  <Characters>30916</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BONNEFONT</dc:creator>
  <cp:keywords/>
  <dc:description/>
  <cp:lastModifiedBy>Rémi BONNEFONT</cp:lastModifiedBy>
  <cp:revision>16</cp:revision>
  <dcterms:created xsi:type="dcterms:W3CDTF">2021-06-11T07:11:00Z</dcterms:created>
  <dcterms:modified xsi:type="dcterms:W3CDTF">2021-06-14T20:23:00Z</dcterms:modified>
</cp:coreProperties>
</file>